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21" w:rsidRPr="0033799E" w:rsidRDefault="005C0921" w:rsidP="005C0921">
      <w:pPr>
        <w:jc w:val="center"/>
        <w:rPr>
          <w:rFonts w:ascii="Kunstler Script" w:hAnsi="Kunstler Script" w:cs="Arial"/>
          <w:sz w:val="80"/>
          <w:szCs w:val="80"/>
        </w:rPr>
      </w:pPr>
      <w:r w:rsidRPr="0033799E">
        <w:rPr>
          <w:rFonts w:ascii="Kunstler Script" w:hAnsi="Kunstler Script" w:cs="Arial"/>
          <w:sz w:val="80"/>
          <w:szCs w:val="80"/>
        </w:rPr>
        <w:t>Ministero delle  Infrastrutture e dei Trasporti</w:t>
      </w:r>
    </w:p>
    <w:p w:rsidR="005C0921" w:rsidRDefault="005C0921" w:rsidP="00C5053B">
      <w:pPr>
        <w:jc w:val="center"/>
        <w:rPr>
          <w:b/>
          <w:sz w:val="28"/>
          <w:szCs w:val="28"/>
        </w:rPr>
      </w:pPr>
    </w:p>
    <w:p w:rsidR="005C0921" w:rsidRDefault="005C0921" w:rsidP="005C0921">
      <w:pPr>
        <w:jc w:val="center"/>
      </w:pPr>
      <w:r w:rsidRPr="0033799E">
        <w:t xml:space="preserve">DIPARTIMENTO PER LE INFRASTRUTTURE, </w:t>
      </w:r>
    </w:p>
    <w:p w:rsidR="005C0921" w:rsidRPr="0033799E" w:rsidRDefault="005C0921" w:rsidP="005C0921">
      <w:pPr>
        <w:jc w:val="center"/>
      </w:pPr>
      <w:r w:rsidRPr="0033799E">
        <w:t>I SISTEMI INFORMATIVI E STATISTICI</w:t>
      </w:r>
    </w:p>
    <w:p w:rsidR="005C0921" w:rsidRDefault="005C0921" w:rsidP="005C0921">
      <w:pPr>
        <w:jc w:val="center"/>
      </w:pPr>
      <w:r w:rsidRPr="0033799E">
        <w:t xml:space="preserve">DIREZIONE GENERALE PER I SISTEMI INFORMATIVI E STATISTICI </w:t>
      </w:r>
    </w:p>
    <w:p w:rsidR="005C0921" w:rsidRPr="0033799E" w:rsidRDefault="005C0921" w:rsidP="005C0921">
      <w:pPr>
        <w:jc w:val="center"/>
      </w:pPr>
      <w:r w:rsidRPr="0033799E">
        <w:t>Div. 3 - Ufficio di Statistica</w:t>
      </w:r>
    </w:p>
    <w:p w:rsidR="005C0921" w:rsidRDefault="005C0921" w:rsidP="005C0921">
      <w:pPr>
        <w:jc w:val="center"/>
      </w:pPr>
    </w:p>
    <w:p w:rsidR="005C0921" w:rsidRPr="0033799E" w:rsidRDefault="005C0921" w:rsidP="005C0921">
      <w:pPr>
        <w:jc w:val="center"/>
        <w:rPr>
          <w:b/>
          <w:bCs/>
          <w:sz w:val="28"/>
          <w:szCs w:val="28"/>
        </w:rPr>
      </w:pPr>
    </w:p>
    <w:p w:rsidR="005C0921" w:rsidRPr="0033799E" w:rsidRDefault="005C0921" w:rsidP="005C0921">
      <w:pPr>
        <w:jc w:val="center"/>
        <w:rPr>
          <w:b/>
          <w:bCs/>
          <w:sz w:val="28"/>
          <w:szCs w:val="28"/>
        </w:rPr>
      </w:pPr>
    </w:p>
    <w:p w:rsidR="005C0921" w:rsidRPr="0033799E" w:rsidRDefault="005C0921" w:rsidP="005C0921">
      <w:pPr>
        <w:jc w:val="center"/>
        <w:rPr>
          <w:b/>
          <w:sz w:val="28"/>
          <w:szCs w:val="28"/>
        </w:rPr>
      </w:pPr>
      <w:r w:rsidRPr="0033799E">
        <w:rPr>
          <w:b/>
          <w:sz w:val="28"/>
          <w:szCs w:val="28"/>
        </w:rPr>
        <w:t>PROGRAMMAZIONE STRATEGICA 201</w:t>
      </w:r>
      <w:r>
        <w:rPr>
          <w:b/>
          <w:sz w:val="28"/>
          <w:szCs w:val="28"/>
        </w:rPr>
        <w:t>6</w:t>
      </w:r>
    </w:p>
    <w:p w:rsidR="005C0921" w:rsidRPr="0033799E" w:rsidRDefault="005C0921" w:rsidP="005C0921">
      <w:pPr>
        <w:jc w:val="center"/>
        <w:rPr>
          <w:b/>
          <w:sz w:val="28"/>
          <w:szCs w:val="28"/>
        </w:rPr>
      </w:pPr>
      <w:r w:rsidRPr="0033799E">
        <w:rPr>
          <w:b/>
          <w:sz w:val="28"/>
          <w:szCs w:val="28"/>
        </w:rPr>
        <w:t xml:space="preserve">OBIETTIVO OPERATIVO: </w:t>
      </w:r>
    </w:p>
    <w:p w:rsidR="005C0921" w:rsidRPr="0033799E" w:rsidRDefault="005C0921" w:rsidP="005C0921">
      <w:pPr>
        <w:jc w:val="center"/>
        <w:rPr>
          <w:b/>
          <w:spacing w:val="-16"/>
          <w:sz w:val="28"/>
          <w:szCs w:val="28"/>
        </w:rPr>
      </w:pPr>
      <w:r w:rsidRPr="0033799E">
        <w:rPr>
          <w:b/>
          <w:spacing w:val="-16"/>
          <w:sz w:val="28"/>
          <w:szCs w:val="28"/>
        </w:rPr>
        <w:t>STAT</w:t>
      </w:r>
      <w:r>
        <w:rPr>
          <w:b/>
          <w:spacing w:val="-16"/>
          <w:sz w:val="28"/>
          <w:szCs w:val="28"/>
        </w:rPr>
        <w:t>ISTICHE  SULL’INCIDENTALIT</w:t>
      </w:r>
      <w:r>
        <w:rPr>
          <w:b/>
          <w:smallCaps/>
          <w:sz w:val="28"/>
          <w:szCs w:val="28"/>
        </w:rPr>
        <w:t>A’</w:t>
      </w:r>
      <w:r w:rsidRPr="0033799E">
        <w:rPr>
          <w:b/>
          <w:spacing w:val="-16"/>
          <w:sz w:val="28"/>
          <w:szCs w:val="28"/>
        </w:rPr>
        <w:t xml:space="preserve"> NEI TRASPORTI STRADALI</w:t>
      </w:r>
      <w:r>
        <w:rPr>
          <w:b/>
          <w:spacing w:val="-16"/>
          <w:sz w:val="28"/>
          <w:szCs w:val="28"/>
        </w:rPr>
        <w:t>,</w:t>
      </w:r>
    </w:p>
    <w:p w:rsidR="005C0921" w:rsidRPr="0033799E" w:rsidRDefault="005C0921" w:rsidP="005C0921">
      <w:pPr>
        <w:jc w:val="center"/>
        <w:rPr>
          <w:b/>
          <w:spacing w:val="-16"/>
          <w:sz w:val="28"/>
          <w:szCs w:val="28"/>
        </w:rPr>
      </w:pPr>
      <w:r w:rsidRPr="0033799E">
        <w:rPr>
          <w:b/>
          <w:spacing w:val="-16"/>
          <w:sz w:val="28"/>
          <w:szCs w:val="28"/>
        </w:rPr>
        <w:t>ANCHE CON RIFERIMENTO ALLA TIPOLOGIA DI STRADA</w:t>
      </w:r>
    </w:p>
    <w:p w:rsidR="005C0921" w:rsidRDefault="005C0921" w:rsidP="005C0921"/>
    <w:p w:rsidR="005C0921" w:rsidRDefault="005C0921" w:rsidP="005C0921"/>
    <w:p w:rsidR="005C0921" w:rsidRDefault="005C0921" w:rsidP="00C5053B">
      <w:pPr>
        <w:jc w:val="center"/>
        <w:rPr>
          <w:b/>
          <w:sz w:val="28"/>
          <w:szCs w:val="28"/>
        </w:rPr>
      </w:pPr>
    </w:p>
    <w:p w:rsidR="005C0921" w:rsidRDefault="005C0921" w:rsidP="00C5053B">
      <w:pPr>
        <w:jc w:val="center"/>
        <w:rPr>
          <w:b/>
          <w:sz w:val="28"/>
          <w:szCs w:val="28"/>
        </w:rPr>
      </w:pPr>
    </w:p>
    <w:p w:rsidR="005C0921" w:rsidRDefault="005C0921" w:rsidP="00C5053B">
      <w:pPr>
        <w:jc w:val="center"/>
        <w:rPr>
          <w:b/>
          <w:sz w:val="28"/>
          <w:szCs w:val="28"/>
        </w:rPr>
      </w:pPr>
    </w:p>
    <w:p w:rsidR="005C0921" w:rsidRDefault="005C0921" w:rsidP="00C5053B">
      <w:pPr>
        <w:jc w:val="center"/>
        <w:rPr>
          <w:b/>
          <w:sz w:val="28"/>
          <w:szCs w:val="28"/>
        </w:rPr>
      </w:pPr>
    </w:p>
    <w:p w:rsidR="005C0921" w:rsidRDefault="005C0921" w:rsidP="00C5053B">
      <w:pPr>
        <w:jc w:val="center"/>
        <w:rPr>
          <w:b/>
          <w:sz w:val="28"/>
          <w:szCs w:val="28"/>
        </w:rPr>
      </w:pPr>
    </w:p>
    <w:p w:rsidR="005C0921" w:rsidRPr="005C0921" w:rsidRDefault="005C0921" w:rsidP="005C0921">
      <w:pPr>
        <w:jc w:val="center"/>
        <w:rPr>
          <w:b/>
          <w:sz w:val="28"/>
          <w:szCs w:val="28"/>
        </w:rPr>
      </w:pPr>
      <w:r w:rsidRPr="005C0921">
        <w:rPr>
          <w:b/>
          <w:sz w:val="28"/>
          <w:szCs w:val="28"/>
        </w:rPr>
        <w:t>L’INCIDENTALITA’ STRADALE SULLA RETE VIARIA PRINCIPALE</w:t>
      </w:r>
      <w:r w:rsidR="0010013F">
        <w:rPr>
          <w:b/>
          <w:sz w:val="28"/>
          <w:szCs w:val="28"/>
        </w:rPr>
        <w:t xml:space="preserve">  ANNO 2015</w:t>
      </w:r>
    </w:p>
    <w:p w:rsidR="005C0921" w:rsidRDefault="005C0921" w:rsidP="00C5053B">
      <w:pPr>
        <w:jc w:val="center"/>
        <w:rPr>
          <w:b/>
          <w:sz w:val="28"/>
          <w:szCs w:val="28"/>
        </w:rPr>
      </w:pPr>
    </w:p>
    <w:p w:rsidR="00F13E9C" w:rsidRDefault="0010013F" w:rsidP="002B1B34">
      <w:pPr>
        <w:spacing w:line="360" w:lineRule="auto"/>
        <w:jc w:val="center"/>
        <w:rPr>
          <w:b/>
          <w:i/>
          <w:spacing w:val="-16"/>
          <w:sz w:val="28"/>
          <w:szCs w:val="28"/>
        </w:rPr>
      </w:pPr>
      <w:r>
        <w:rPr>
          <w:b/>
          <w:i/>
          <w:spacing w:val="-16"/>
          <w:sz w:val="28"/>
          <w:szCs w:val="28"/>
        </w:rPr>
        <w:t xml:space="preserve">  </w:t>
      </w:r>
      <w:r w:rsidR="005C0921" w:rsidRPr="005C0921">
        <w:rPr>
          <w:b/>
          <w:i/>
          <w:spacing w:val="-16"/>
          <w:sz w:val="28"/>
          <w:szCs w:val="28"/>
        </w:rPr>
        <w:t>(a cura dell’Automobile club d’Italia - Area Professionale Statistica</w:t>
      </w:r>
      <w:r w:rsidR="00F13E9C">
        <w:rPr>
          <w:b/>
          <w:i/>
          <w:spacing w:val="-16"/>
          <w:sz w:val="28"/>
          <w:szCs w:val="28"/>
        </w:rPr>
        <w:t>)</w:t>
      </w:r>
    </w:p>
    <w:p w:rsidR="005C0921" w:rsidRPr="005C0921" w:rsidRDefault="005C0921" w:rsidP="002B1B34">
      <w:pPr>
        <w:spacing w:line="360" w:lineRule="auto"/>
        <w:jc w:val="center"/>
        <w:rPr>
          <w:b/>
          <w:i/>
          <w:spacing w:val="-16"/>
          <w:sz w:val="28"/>
          <w:szCs w:val="28"/>
        </w:rPr>
      </w:pPr>
    </w:p>
    <w:p w:rsidR="005C0921" w:rsidRPr="005C0921" w:rsidRDefault="005C0921" w:rsidP="00C5053B">
      <w:pPr>
        <w:jc w:val="center"/>
        <w:rPr>
          <w:b/>
          <w:sz w:val="28"/>
          <w:szCs w:val="28"/>
        </w:rPr>
      </w:pPr>
    </w:p>
    <w:p w:rsidR="005C0921" w:rsidRDefault="005C0921">
      <w:pPr>
        <w:rPr>
          <w:b/>
          <w:sz w:val="28"/>
          <w:szCs w:val="28"/>
        </w:rPr>
      </w:pPr>
      <w:bookmarkStart w:id="0" w:name="_GoBack"/>
      <w:bookmarkEnd w:id="0"/>
      <w:r w:rsidRPr="005C0921">
        <w:rPr>
          <w:b/>
          <w:sz w:val="28"/>
          <w:szCs w:val="28"/>
        </w:rPr>
        <w:br w:type="page"/>
      </w:r>
    </w:p>
    <w:p w:rsidR="00C5053B" w:rsidRDefault="00F13E9C" w:rsidP="00C5053B">
      <w:pPr>
        <w:jc w:val="center"/>
        <w:rPr>
          <w:rFonts w:ascii="Arial" w:hAnsi="Arial" w:cs="Arial"/>
          <w:b/>
          <w:sz w:val="28"/>
          <w:szCs w:val="28"/>
        </w:rPr>
      </w:pPr>
      <w:r>
        <w:rPr>
          <w:b/>
          <w:i/>
          <w:spacing w:val="-16"/>
          <w:sz w:val="28"/>
          <w:szCs w:val="28"/>
        </w:rPr>
        <w:lastRenderedPageBreak/>
        <w:t xml:space="preserve">Contributo realizzato da Alessia Grande </w:t>
      </w:r>
      <w:r w:rsidR="0010013F">
        <w:rPr>
          <w:b/>
          <w:i/>
          <w:spacing w:val="-16"/>
          <w:sz w:val="28"/>
          <w:szCs w:val="28"/>
        </w:rPr>
        <w:t>-</w:t>
      </w:r>
      <w:r>
        <w:rPr>
          <w:b/>
          <w:i/>
          <w:spacing w:val="-16"/>
          <w:sz w:val="28"/>
          <w:szCs w:val="28"/>
        </w:rPr>
        <w:t xml:space="preserve"> Area Professionale Statistica</w:t>
      </w:r>
    </w:p>
    <w:p w:rsidR="00C5053B" w:rsidRDefault="00C5053B" w:rsidP="00517534">
      <w:pPr>
        <w:spacing w:line="360" w:lineRule="auto"/>
        <w:jc w:val="both"/>
        <w:rPr>
          <w:rFonts w:ascii="Arial" w:hAnsi="Arial" w:cs="Arial"/>
          <w:b/>
        </w:rPr>
      </w:pPr>
    </w:p>
    <w:p w:rsidR="005A2F0F" w:rsidRPr="002B1B34" w:rsidRDefault="005A2F0F" w:rsidP="005A2F0F">
      <w:pPr>
        <w:pStyle w:val="Corpotesto"/>
        <w:spacing w:line="360" w:lineRule="auto"/>
        <w:ind w:firstLine="284"/>
        <w:jc w:val="both"/>
        <w:rPr>
          <w:szCs w:val="24"/>
        </w:rPr>
      </w:pPr>
      <w:r w:rsidRPr="002B1B34">
        <w:rPr>
          <w:szCs w:val="24"/>
        </w:rPr>
        <w:t xml:space="preserve">L’ACI analizza e pubblica ogni anno i dati relativi alla localizzazione degli incidenti stradali sulla rete viaria primaria (rif. PSN ACI-00012), intendendo cioè autostrade, principali raccordi, tangenziali, trafori e tutti gli itinerari che identificavano la rete statale prima del trasferimento di una parte di essa alle Regioni ed alle Province; le strade vengono ancora denominate secondo i vecchi itinerari, ai quali sono ricondotte eventuali nuove denominazioni. La fonte dei dati è la rilevazione degli incidenti stradali che ISTAT conduce con la collaborazione di ACI (rif. PSN ISTAT-00142). </w:t>
      </w:r>
    </w:p>
    <w:p w:rsidR="005A2F0F" w:rsidRPr="002B1B34" w:rsidRDefault="00910052" w:rsidP="005A2F0F">
      <w:pPr>
        <w:pStyle w:val="Corpotesto"/>
        <w:spacing w:line="360" w:lineRule="auto"/>
        <w:ind w:firstLine="284"/>
        <w:jc w:val="both"/>
        <w:rPr>
          <w:szCs w:val="24"/>
        </w:rPr>
      </w:pPr>
      <w:r w:rsidRPr="002B1B34">
        <w:rPr>
          <w:szCs w:val="24"/>
        </w:rPr>
        <w:t xml:space="preserve">La rilevazione avviene tramite la compilazione del modello Istat </w:t>
      </w:r>
      <w:proofErr w:type="spellStart"/>
      <w:r w:rsidRPr="002B1B34">
        <w:rPr>
          <w:szCs w:val="24"/>
        </w:rPr>
        <w:t>Ctt</w:t>
      </w:r>
      <w:proofErr w:type="spellEnd"/>
      <w:r w:rsidRPr="002B1B34">
        <w:rPr>
          <w:szCs w:val="24"/>
        </w:rPr>
        <w:t>/</w:t>
      </w:r>
      <w:proofErr w:type="spellStart"/>
      <w:r w:rsidRPr="002B1B34">
        <w:rPr>
          <w:szCs w:val="24"/>
        </w:rPr>
        <w:t>Inc</w:t>
      </w:r>
      <w:proofErr w:type="spellEnd"/>
      <w:r w:rsidRPr="002B1B34">
        <w:rPr>
          <w:szCs w:val="24"/>
        </w:rPr>
        <w:t xml:space="preserve"> denominato “Incidenti stradali” da parte d</w:t>
      </w:r>
      <w:r w:rsidR="00B6769D" w:rsidRPr="002B1B34">
        <w:rPr>
          <w:szCs w:val="24"/>
        </w:rPr>
        <w:t>e</w:t>
      </w:r>
      <w:r w:rsidRPr="002B1B34">
        <w:rPr>
          <w:szCs w:val="24"/>
        </w:rPr>
        <w:t xml:space="preserve">ll’autorità che è intervenuta sul luogo (Polizia Stradale, Carabinieri, Polizia Municipale) per ogni incidente stradale in cui è coinvolto un veicolo in circolazione sulla rete stradale e che comporti danni alle persone. </w:t>
      </w:r>
    </w:p>
    <w:p w:rsidR="001E355B" w:rsidRPr="002B1B34" w:rsidRDefault="005A2F0F" w:rsidP="001E355B">
      <w:pPr>
        <w:pStyle w:val="Corpotesto"/>
        <w:spacing w:line="360" w:lineRule="auto"/>
        <w:jc w:val="both"/>
        <w:rPr>
          <w:szCs w:val="24"/>
        </w:rPr>
      </w:pPr>
      <w:r w:rsidRPr="002B1B34">
        <w:rPr>
          <w:szCs w:val="24"/>
        </w:rPr>
        <w:t>Nel 201</w:t>
      </w:r>
      <w:r w:rsidR="00BF6887" w:rsidRPr="002B1B34">
        <w:rPr>
          <w:szCs w:val="24"/>
        </w:rPr>
        <w:t>5</w:t>
      </w:r>
      <w:r w:rsidRPr="002B1B34">
        <w:rPr>
          <w:szCs w:val="24"/>
        </w:rPr>
        <w:t xml:space="preserve"> gli </w:t>
      </w:r>
      <w:r w:rsidRPr="002B1B34">
        <w:rPr>
          <w:b/>
          <w:szCs w:val="24"/>
        </w:rPr>
        <w:t>incidenti che sono stati correttamente localizzati</w:t>
      </w:r>
      <w:r w:rsidRPr="002B1B34">
        <w:rPr>
          <w:szCs w:val="24"/>
        </w:rPr>
        <w:t xml:space="preserve"> – cioè con esatta imputazione di strada e chilometro – sono </w:t>
      </w:r>
      <w:r w:rsidR="006A39A8" w:rsidRPr="002B1B34">
        <w:rPr>
          <w:szCs w:val="24"/>
        </w:rPr>
        <w:t xml:space="preserve">circa </w:t>
      </w:r>
      <w:r w:rsidRPr="002B1B34">
        <w:rPr>
          <w:szCs w:val="24"/>
        </w:rPr>
        <w:t xml:space="preserve">il </w:t>
      </w:r>
      <w:r w:rsidR="006A39A8" w:rsidRPr="002B1B34">
        <w:rPr>
          <w:b/>
          <w:szCs w:val="24"/>
        </w:rPr>
        <w:t>72</w:t>
      </w:r>
      <w:r w:rsidRPr="002B1B34">
        <w:rPr>
          <w:b/>
          <w:szCs w:val="24"/>
        </w:rPr>
        <w:t>%</w:t>
      </w:r>
      <w:r w:rsidRPr="002B1B34">
        <w:rPr>
          <w:szCs w:val="24"/>
        </w:rPr>
        <w:t xml:space="preserve"> ed hanno dato luogo al</w:t>
      </w:r>
      <w:r w:rsidR="000D350E" w:rsidRPr="002B1B34">
        <w:rPr>
          <w:szCs w:val="24"/>
        </w:rPr>
        <w:t>l’</w:t>
      </w:r>
      <w:r w:rsidRPr="002B1B34">
        <w:rPr>
          <w:b/>
          <w:szCs w:val="24"/>
        </w:rPr>
        <w:t>8</w:t>
      </w:r>
      <w:r w:rsidR="006A39A8" w:rsidRPr="002B1B34">
        <w:rPr>
          <w:b/>
          <w:szCs w:val="24"/>
        </w:rPr>
        <w:t>4</w:t>
      </w:r>
      <w:r w:rsidRPr="002B1B34">
        <w:rPr>
          <w:b/>
          <w:szCs w:val="24"/>
        </w:rPr>
        <w:t>,</w:t>
      </w:r>
      <w:r w:rsidR="006A39A8" w:rsidRPr="002B1B34">
        <w:rPr>
          <w:b/>
          <w:szCs w:val="24"/>
        </w:rPr>
        <w:t>2</w:t>
      </w:r>
      <w:r w:rsidRPr="002B1B34">
        <w:rPr>
          <w:b/>
          <w:szCs w:val="24"/>
        </w:rPr>
        <w:t>%</w:t>
      </w:r>
      <w:r w:rsidRPr="002B1B34">
        <w:rPr>
          <w:szCs w:val="24"/>
        </w:rPr>
        <w:t xml:space="preserve"> dei decessi.</w:t>
      </w:r>
      <w:r w:rsidR="001E355B" w:rsidRPr="002B1B34">
        <w:rPr>
          <w:szCs w:val="24"/>
        </w:rPr>
        <w:t xml:space="preserve"> La percentuale degli incidenti localizzati è </w:t>
      </w:r>
      <w:r w:rsidR="006A39A8" w:rsidRPr="002B1B34">
        <w:rPr>
          <w:szCs w:val="24"/>
        </w:rPr>
        <w:t>aumentata</w:t>
      </w:r>
      <w:r w:rsidR="00283E4C" w:rsidRPr="002B1B34">
        <w:rPr>
          <w:szCs w:val="24"/>
        </w:rPr>
        <w:t xml:space="preserve"> di circa il </w:t>
      </w:r>
      <w:r w:rsidR="001F6F60" w:rsidRPr="002B1B34">
        <w:rPr>
          <w:szCs w:val="24"/>
        </w:rPr>
        <w:t>3,7</w:t>
      </w:r>
      <w:r w:rsidR="001E355B" w:rsidRPr="002B1B34">
        <w:rPr>
          <w:szCs w:val="24"/>
        </w:rPr>
        <w:t xml:space="preserve">% rispetto allo scorso anno </w:t>
      </w:r>
      <w:r w:rsidR="006A39A8" w:rsidRPr="002B1B34">
        <w:rPr>
          <w:szCs w:val="24"/>
        </w:rPr>
        <w:t>grazie al</w:t>
      </w:r>
      <w:r w:rsidR="00283E4C" w:rsidRPr="002B1B34">
        <w:rPr>
          <w:szCs w:val="24"/>
        </w:rPr>
        <w:t>l</w:t>
      </w:r>
      <w:r w:rsidR="001E355B" w:rsidRPr="002B1B34">
        <w:rPr>
          <w:szCs w:val="24"/>
        </w:rPr>
        <w:t>’utilizzo delle coordinate geografiche</w:t>
      </w:r>
      <w:r w:rsidR="00283E4C" w:rsidRPr="002B1B34">
        <w:rPr>
          <w:szCs w:val="24"/>
        </w:rPr>
        <w:t xml:space="preserve"> </w:t>
      </w:r>
      <w:r w:rsidR="001E355B" w:rsidRPr="002B1B34">
        <w:rPr>
          <w:szCs w:val="24"/>
        </w:rPr>
        <w:t>present</w:t>
      </w:r>
      <w:r w:rsidR="001F6F60" w:rsidRPr="002B1B34">
        <w:rPr>
          <w:szCs w:val="24"/>
        </w:rPr>
        <w:t>i</w:t>
      </w:r>
      <w:r w:rsidR="001E355B" w:rsidRPr="002B1B34">
        <w:rPr>
          <w:szCs w:val="24"/>
        </w:rPr>
        <w:t xml:space="preserve"> in circa il </w:t>
      </w:r>
      <w:r w:rsidR="001F6F60" w:rsidRPr="002B1B34">
        <w:rPr>
          <w:szCs w:val="24"/>
        </w:rPr>
        <w:t>5</w:t>
      </w:r>
      <w:r w:rsidR="00283E4C" w:rsidRPr="002B1B34">
        <w:rPr>
          <w:szCs w:val="24"/>
        </w:rPr>
        <w:t>1</w:t>
      </w:r>
      <w:r w:rsidR="001E355B" w:rsidRPr="002B1B34">
        <w:rPr>
          <w:szCs w:val="24"/>
        </w:rPr>
        <w:t>% degli incidenti relativi alla rete considerata</w:t>
      </w:r>
      <w:r w:rsidR="00244FA5" w:rsidRPr="002B1B34">
        <w:rPr>
          <w:szCs w:val="24"/>
        </w:rPr>
        <w:t xml:space="preserve"> (l’anno scorso la stessa percentuale era al </w:t>
      </w:r>
      <w:r w:rsidR="001F6F60" w:rsidRPr="002B1B34">
        <w:rPr>
          <w:szCs w:val="24"/>
        </w:rPr>
        <w:t>41</w:t>
      </w:r>
      <w:r w:rsidR="00244FA5" w:rsidRPr="002B1B34">
        <w:rPr>
          <w:szCs w:val="24"/>
        </w:rPr>
        <w:t>%)</w:t>
      </w:r>
      <w:r w:rsidR="001E355B" w:rsidRPr="002B1B34">
        <w:rPr>
          <w:szCs w:val="24"/>
        </w:rPr>
        <w:t xml:space="preserve">. </w:t>
      </w:r>
      <w:r w:rsidR="007B3686" w:rsidRPr="002B1B34">
        <w:rPr>
          <w:szCs w:val="24"/>
        </w:rPr>
        <w:t xml:space="preserve">Nonostante l’aumento della corretta imputazione di strada e chilometro da un anno all’altro, </w:t>
      </w:r>
      <w:r w:rsidR="001E355B" w:rsidRPr="002B1B34">
        <w:rPr>
          <w:szCs w:val="24"/>
        </w:rPr>
        <w:t xml:space="preserve">un’analisi puntuale delle informazioni geografiche ha </w:t>
      </w:r>
      <w:r w:rsidR="007B3686" w:rsidRPr="002B1B34">
        <w:rPr>
          <w:szCs w:val="24"/>
        </w:rPr>
        <w:t xml:space="preserve">ancora </w:t>
      </w:r>
      <w:r w:rsidR="001E355B" w:rsidRPr="002B1B34">
        <w:rPr>
          <w:szCs w:val="24"/>
        </w:rPr>
        <w:t xml:space="preserve">evidenziato la difficoltà nell’utilizzare direttamente tali dati in quanto da un lato riportati in sistemi e formati differenti e dall’altro non sempre attendibili. Da un’ulteriore </w:t>
      </w:r>
      <w:r w:rsidR="00244FA5" w:rsidRPr="002B1B34">
        <w:rPr>
          <w:szCs w:val="24"/>
        </w:rPr>
        <w:t>verifica</w:t>
      </w:r>
      <w:r w:rsidR="001E355B" w:rsidRPr="002B1B34">
        <w:rPr>
          <w:szCs w:val="24"/>
        </w:rPr>
        <w:t xml:space="preserve"> è emerso, </w:t>
      </w:r>
      <w:r w:rsidR="00AE49FA" w:rsidRPr="002B1B34">
        <w:rPr>
          <w:szCs w:val="24"/>
        </w:rPr>
        <w:t>appunto</w:t>
      </w:r>
      <w:r w:rsidR="001E355B" w:rsidRPr="002B1B34">
        <w:rPr>
          <w:szCs w:val="24"/>
        </w:rPr>
        <w:t>, che non sempre le coordinate ricadono in prossimità della strada indicata come luogo dell’incidente mentre</w:t>
      </w:r>
      <w:r w:rsidR="00050C38" w:rsidRPr="002B1B34">
        <w:rPr>
          <w:szCs w:val="24"/>
        </w:rPr>
        <w:t>,</w:t>
      </w:r>
      <w:r w:rsidR="001E355B" w:rsidRPr="002B1B34">
        <w:rPr>
          <w:szCs w:val="24"/>
        </w:rPr>
        <w:t xml:space="preserve"> qualora non sia indicata neanche la strada</w:t>
      </w:r>
      <w:r w:rsidR="00050C38" w:rsidRPr="002B1B34">
        <w:rPr>
          <w:szCs w:val="24"/>
        </w:rPr>
        <w:t>,</w:t>
      </w:r>
      <w:r w:rsidR="001E355B" w:rsidRPr="002B1B34">
        <w:rPr>
          <w:szCs w:val="24"/>
        </w:rPr>
        <w:t xml:space="preserve"> non sempre questa è identificabile in modo univoco</w:t>
      </w:r>
      <w:r w:rsidR="003C61EF" w:rsidRPr="002B1B34">
        <w:rPr>
          <w:szCs w:val="24"/>
        </w:rPr>
        <w:t xml:space="preserve"> (vedi </w:t>
      </w:r>
      <w:r w:rsidR="00F72F44" w:rsidRPr="002B1B34">
        <w:rPr>
          <w:szCs w:val="24"/>
        </w:rPr>
        <w:t>contributo</w:t>
      </w:r>
      <w:r w:rsidR="00AB2E85" w:rsidRPr="002B1B34">
        <w:rPr>
          <w:szCs w:val="24"/>
        </w:rPr>
        <w:t xml:space="preserve"> sulle coordinate geografiche 201</w:t>
      </w:r>
      <w:r w:rsidR="00AE49FA" w:rsidRPr="002B1B34">
        <w:rPr>
          <w:szCs w:val="24"/>
        </w:rPr>
        <w:t>4</w:t>
      </w:r>
      <w:r w:rsidR="00AB2E85" w:rsidRPr="002B1B34">
        <w:rPr>
          <w:szCs w:val="24"/>
        </w:rPr>
        <w:t>-201</w:t>
      </w:r>
      <w:r w:rsidR="00AE49FA" w:rsidRPr="002B1B34">
        <w:rPr>
          <w:szCs w:val="24"/>
        </w:rPr>
        <w:t>5</w:t>
      </w:r>
      <w:r w:rsidR="00AB2E85" w:rsidRPr="002B1B34">
        <w:rPr>
          <w:szCs w:val="24"/>
        </w:rPr>
        <w:t>)</w:t>
      </w:r>
      <w:r w:rsidR="001E355B" w:rsidRPr="002B1B34">
        <w:rPr>
          <w:szCs w:val="24"/>
        </w:rPr>
        <w:t>.</w:t>
      </w:r>
    </w:p>
    <w:p w:rsidR="005A2F0F" w:rsidRPr="002B1B34" w:rsidRDefault="005A2F0F" w:rsidP="005A2F0F">
      <w:pPr>
        <w:pStyle w:val="Corpotesto"/>
        <w:spacing w:line="360" w:lineRule="auto"/>
        <w:ind w:firstLine="284"/>
        <w:jc w:val="both"/>
        <w:rPr>
          <w:szCs w:val="24"/>
        </w:rPr>
      </w:pPr>
      <w:r w:rsidRPr="002B1B34">
        <w:rPr>
          <w:szCs w:val="24"/>
        </w:rPr>
        <w:t xml:space="preserve"> Nelle considerazioni che seguono</w:t>
      </w:r>
      <w:r w:rsidR="001E355B" w:rsidRPr="002B1B34">
        <w:rPr>
          <w:szCs w:val="24"/>
        </w:rPr>
        <w:t xml:space="preserve"> e nelle tabelle allegate</w:t>
      </w:r>
      <w:r w:rsidR="00050C38" w:rsidRPr="002B1B34">
        <w:rPr>
          <w:szCs w:val="24"/>
        </w:rPr>
        <w:t>,</w:t>
      </w:r>
      <w:r w:rsidRPr="002B1B34">
        <w:rPr>
          <w:szCs w:val="24"/>
        </w:rPr>
        <w:t xml:space="preserve"> comunque</w:t>
      </w:r>
      <w:r w:rsidR="00050C38" w:rsidRPr="002B1B34">
        <w:rPr>
          <w:szCs w:val="24"/>
        </w:rPr>
        <w:t>,</w:t>
      </w:r>
      <w:r w:rsidRPr="002B1B34">
        <w:rPr>
          <w:szCs w:val="24"/>
        </w:rPr>
        <w:t xml:space="preserve"> si f</w:t>
      </w:r>
      <w:r w:rsidR="001E355B" w:rsidRPr="002B1B34">
        <w:rPr>
          <w:szCs w:val="24"/>
        </w:rPr>
        <w:t>a riferimento a tratte provinciali nelle quali gli incidenti sono tutti considerati anche qualora l’informazione sulla chilometrica di accadimento non sia nota.</w:t>
      </w:r>
    </w:p>
    <w:p w:rsidR="005A2F0F" w:rsidRPr="002B1B34" w:rsidRDefault="005A2F0F" w:rsidP="00517534">
      <w:pPr>
        <w:spacing w:line="360" w:lineRule="auto"/>
        <w:jc w:val="both"/>
      </w:pPr>
    </w:p>
    <w:p w:rsidR="00D5608F" w:rsidRPr="002B1B34" w:rsidRDefault="00375828" w:rsidP="00375828">
      <w:pPr>
        <w:pStyle w:val="Corpotesto"/>
        <w:spacing w:line="360" w:lineRule="auto"/>
        <w:jc w:val="both"/>
        <w:rPr>
          <w:szCs w:val="24"/>
        </w:rPr>
      </w:pPr>
      <w:r w:rsidRPr="002B1B34">
        <w:rPr>
          <w:szCs w:val="24"/>
        </w:rPr>
        <w:t>Nel 201</w:t>
      </w:r>
      <w:r w:rsidR="0099188B" w:rsidRPr="002B1B34">
        <w:rPr>
          <w:szCs w:val="24"/>
        </w:rPr>
        <w:t>5</w:t>
      </w:r>
      <w:r w:rsidRPr="002B1B34">
        <w:rPr>
          <w:szCs w:val="24"/>
        </w:rPr>
        <w:t xml:space="preserve"> la rilevazione statistica degli </w:t>
      </w:r>
      <w:r w:rsidR="008131A8" w:rsidRPr="002B1B34">
        <w:rPr>
          <w:szCs w:val="24"/>
        </w:rPr>
        <w:t>incidenti conta nel complesso 17</w:t>
      </w:r>
      <w:r w:rsidR="00B1315F" w:rsidRPr="002B1B34">
        <w:rPr>
          <w:szCs w:val="24"/>
        </w:rPr>
        <w:t>4</w:t>
      </w:r>
      <w:r w:rsidRPr="002B1B34">
        <w:rPr>
          <w:szCs w:val="24"/>
        </w:rPr>
        <w:t>.</w:t>
      </w:r>
      <w:r w:rsidR="00B1315F" w:rsidRPr="002B1B34">
        <w:rPr>
          <w:szCs w:val="24"/>
        </w:rPr>
        <w:t>539</w:t>
      </w:r>
      <w:r w:rsidRPr="002B1B34">
        <w:rPr>
          <w:szCs w:val="24"/>
        </w:rPr>
        <w:t xml:space="preserve"> incidenti con 3.</w:t>
      </w:r>
      <w:r w:rsidR="00BB2510" w:rsidRPr="002B1B34">
        <w:rPr>
          <w:szCs w:val="24"/>
        </w:rPr>
        <w:t>42</w:t>
      </w:r>
      <w:r w:rsidR="00B1315F" w:rsidRPr="002B1B34">
        <w:rPr>
          <w:szCs w:val="24"/>
        </w:rPr>
        <w:t>8</w:t>
      </w:r>
      <w:r w:rsidRPr="002B1B34">
        <w:rPr>
          <w:szCs w:val="24"/>
        </w:rPr>
        <w:t xml:space="preserve"> decessi e 2</w:t>
      </w:r>
      <w:r w:rsidR="00BB2510" w:rsidRPr="002B1B34">
        <w:rPr>
          <w:szCs w:val="24"/>
        </w:rPr>
        <w:t>46</w:t>
      </w:r>
      <w:r w:rsidR="008131A8" w:rsidRPr="002B1B34">
        <w:rPr>
          <w:szCs w:val="24"/>
        </w:rPr>
        <w:t>.</w:t>
      </w:r>
      <w:r w:rsidR="00B1315F" w:rsidRPr="002B1B34">
        <w:rPr>
          <w:szCs w:val="24"/>
        </w:rPr>
        <w:t>920</w:t>
      </w:r>
      <w:r w:rsidRPr="002B1B34">
        <w:rPr>
          <w:szCs w:val="24"/>
        </w:rPr>
        <w:t xml:space="preserve"> feriti. Rispetto al 201</w:t>
      </w:r>
      <w:r w:rsidR="00BB2510" w:rsidRPr="002B1B34">
        <w:rPr>
          <w:szCs w:val="24"/>
        </w:rPr>
        <w:t>4</w:t>
      </w:r>
      <w:r w:rsidRPr="002B1B34">
        <w:rPr>
          <w:szCs w:val="24"/>
        </w:rPr>
        <w:t xml:space="preserve"> è stata registrata una diminuzione del</w:t>
      </w:r>
      <w:r w:rsidR="00AE42C7" w:rsidRPr="002B1B34">
        <w:rPr>
          <w:szCs w:val="24"/>
        </w:rPr>
        <w:t>l’1,</w:t>
      </w:r>
      <w:r w:rsidR="00B1315F" w:rsidRPr="002B1B34">
        <w:rPr>
          <w:szCs w:val="24"/>
        </w:rPr>
        <w:t>4</w:t>
      </w:r>
      <w:r w:rsidR="00AE42C7" w:rsidRPr="002B1B34">
        <w:rPr>
          <w:szCs w:val="24"/>
        </w:rPr>
        <w:t>% di incidenti e</w:t>
      </w:r>
      <w:r w:rsidRPr="002B1B34">
        <w:rPr>
          <w:szCs w:val="24"/>
        </w:rPr>
        <w:t xml:space="preserve"> del</w:t>
      </w:r>
      <w:r w:rsidR="00B1315F" w:rsidRPr="002B1B34">
        <w:rPr>
          <w:szCs w:val="24"/>
        </w:rPr>
        <w:t>l’1,7</w:t>
      </w:r>
      <w:r w:rsidRPr="002B1B34">
        <w:rPr>
          <w:szCs w:val="24"/>
        </w:rPr>
        <w:t xml:space="preserve">% di </w:t>
      </w:r>
      <w:r w:rsidR="00AE42C7" w:rsidRPr="002B1B34">
        <w:rPr>
          <w:szCs w:val="24"/>
        </w:rPr>
        <w:t>feriti ma, per la prima volta dal 2001, si è rilevato un aumento dei morti, pari all’1,</w:t>
      </w:r>
      <w:r w:rsidR="00B1315F" w:rsidRPr="002B1B34">
        <w:rPr>
          <w:szCs w:val="24"/>
        </w:rPr>
        <w:t>4</w:t>
      </w:r>
      <w:r w:rsidR="00AE42C7" w:rsidRPr="002B1B34">
        <w:rPr>
          <w:szCs w:val="24"/>
        </w:rPr>
        <w:t>%</w:t>
      </w:r>
      <w:r w:rsidRPr="002B1B34">
        <w:rPr>
          <w:szCs w:val="24"/>
        </w:rPr>
        <w:t xml:space="preserve">. </w:t>
      </w:r>
    </w:p>
    <w:p w:rsidR="00D5608F" w:rsidRPr="002B1B34" w:rsidRDefault="00D5608F" w:rsidP="00D5608F">
      <w:pPr>
        <w:pStyle w:val="Corpotesto"/>
        <w:spacing w:line="360" w:lineRule="auto"/>
        <w:ind w:firstLine="284"/>
        <w:jc w:val="both"/>
        <w:rPr>
          <w:szCs w:val="24"/>
        </w:rPr>
      </w:pPr>
      <w:r w:rsidRPr="002B1B34">
        <w:rPr>
          <w:szCs w:val="24"/>
        </w:rPr>
        <w:t>La rete stradale considerata consta di 54.</w:t>
      </w:r>
      <w:r w:rsidR="005B1D68" w:rsidRPr="002B1B34">
        <w:rPr>
          <w:szCs w:val="24"/>
        </w:rPr>
        <w:t>312</w:t>
      </w:r>
      <w:r w:rsidR="00350D77" w:rsidRPr="002B1B34">
        <w:rPr>
          <w:szCs w:val="24"/>
        </w:rPr>
        <w:t>,</w:t>
      </w:r>
      <w:r w:rsidR="005B1D68" w:rsidRPr="002B1B34">
        <w:rPr>
          <w:szCs w:val="24"/>
        </w:rPr>
        <w:t>4</w:t>
      </w:r>
      <w:r w:rsidRPr="002B1B34">
        <w:rPr>
          <w:szCs w:val="24"/>
        </w:rPr>
        <w:t xml:space="preserve"> chilometri di strada di cui il 13,6% con caratteristiche autostradali (autostrade, diramazioni, tangenziali, raccordi, trafori).</w:t>
      </w:r>
      <w:r w:rsidR="00D074AB" w:rsidRPr="002B1B34">
        <w:rPr>
          <w:szCs w:val="24"/>
        </w:rPr>
        <w:t xml:space="preserve"> </w:t>
      </w:r>
    </w:p>
    <w:p w:rsidR="00375828" w:rsidRPr="002B1B34" w:rsidRDefault="00375828" w:rsidP="00375828">
      <w:pPr>
        <w:pStyle w:val="Corpotesto"/>
        <w:spacing w:line="360" w:lineRule="auto"/>
        <w:jc w:val="both"/>
        <w:rPr>
          <w:szCs w:val="24"/>
        </w:rPr>
      </w:pPr>
      <w:r w:rsidRPr="002B1B34">
        <w:rPr>
          <w:szCs w:val="24"/>
        </w:rPr>
        <w:t xml:space="preserve">Gli incidenti verificatisi sulla rete stradale principale sono </w:t>
      </w:r>
      <w:r w:rsidR="00E7057F" w:rsidRPr="002B1B34">
        <w:rPr>
          <w:szCs w:val="24"/>
        </w:rPr>
        <w:t>quasi il 21</w:t>
      </w:r>
      <w:r w:rsidRPr="002B1B34">
        <w:rPr>
          <w:szCs w:val="24"/>
        </w:rPr>
        <w:t xml:space="preserve">% del totale mentre il numero di morti rappresenta il </w:t>
      </w:r>
      <w:r w:rsidR="00E7057F" w:rsidRPr="002B1B34">
        <w:rPr>
          <w:szCs w:val="24"/>
        </w:rPr>
        <w:t>38</w:t>
      </w:r>
      <w:r w:rsidRPr="002B1B34">
        <w:rPr>
          <w:szCs w:val="24"/>
        </w:rPr>
        <w:t>% del totale.</w:t>
      </w:r>
    </w:p>
    <w:p w:rsidR="001E355B" w:rsidRPr="002B1B34" w:rsidRDefault="00375828" w:rsidP="00517534">
      <w:pPr>
        <w:spacing w:line="360" w:lineRule="auto"/>
        <w:jc w:val="both"/>
      </w:pPr>
      <w:r w:rsidRPr="002B1B34">
        <w:lastRenderedPageBreak/>
        <w:t>N</w:t>
      </w:r>
      <w:r w:rsidR="00517534" w:rsidRPr="002B1B34">
        <w:t>el 201</w:t>
      </w:r>
      <w:r w:rsidR="00684FAB" w:rsidRPr="002B1B34">
        <w:t>5</w:t>
      </w:r>
      <w:r w:rsidRPr="002B1B34">
        <w:t xml:space="preserve"> sulla rete viaria principale gli </w:t>
      </w:r>
      <w:r w:rsidRPr="002B1B34">
        <w:rPr>
          <w:b/>
        </w:rPr>
        <w:t>incidenti</w:t>
      </w:r>
      <w:r w:rsidR="00517534" w:rsidRPr="002B1B34">
        <w:t xml:space="preserve"> sono </w:t>
      </w:r>
      <w:r w:rsidR="005B3101" w:rsidRPr="002B1B34">
        <w:t>stati 3</w:t>
      </w:r>
      <w:r w:rsidR="00684FAB" w:rsidRPr="002B1B34">
        <w:t>6</w:t>
      </w:r>
      <w:r w:rsidR="005B3101" w:rsidRPr="002B1B34">
        <w:t>.</w:t>
      </w:r>
      <w:r w:rsidR="00684FAB" w:rsidRPr="002B1B34">
        <w:t>593</w:t>
      </w:r>
      <w:r w:rsidR="00244FA5" w:rsidRPr="002B1B34">
        <w:t xml:space="preserve"> </w:t>
      </w:r>
      <w:r w:rsidR="005B3101" w:rsidRPr="002B1B34">
        <w:t xml:space="preserve">riportando una diminuzione </w:t>
      </w:r>
      <w:r w:rsidR="00684FAB" w:rsidRPr="002B1B34">
        <w:t>dell’1,4</w:t>
      </w:r>
      <w:r w:rsidR="00517534" w:rsidRPr="002B1B34">
        <w:t>%</w:t>
      </w:r>
      <w:r w:rsidR="001E355B" w:rsidRPr="002B1B34">
        <w:t xml:space="preserve"> rispetto all’anno precedente</w:t>
      </w:r>
      <w:r w:rsidR="00691BD8" w:rsidRPr="002B1B34">
        <w:t xml:space="preserve"> e del 3</w:t>
      </w:r>
      <w:r w:rsidR="00684FAB" w:rsidRPr="002B1B34">
        <w:t>7</w:t>
      </w:r>
      <w:r w:rsidR="00691BD8" w:rsidRPr="002B1B34">
        <w:t>,</w:t>
      </w:r>
      <w:r w:rsidR="00684FAB" w:rsidRPr="002B1B34">
        <w:t>3</w:t>
      </w:r>
      <w:r w:rsidR="00691BD8" w:rsidRPr="002B1B34">
        <w:t xml:space="preserve">% rispetto al </w:t>
      </w:r>
      <w:r w:rsidR="00517534" w:rsidRPr="002B1B34">
        <w:t xml:space="preserve">2001, anno di inizio del primo decennio della sicurezza stradale </w:t>
      </w:r>
      <w:r w:rsidR="00DA51F9" w:rsidRPr="002B1B34">
        <w:t>indetto</w:t>
      </w:r>
      <w:r w:rsidR="00517534" w:rsidRPr="002B1B34">
        <w:t xml:space="preserve"> dalle Nazioni Unite, </w:t>
      </w:r>
      <w:r w:rsidR="00691BD8" w:rsidRPr="002B1B34">
        <w:t>co</w:t>
      </w:r>
      <w:r w:rsidR="005B3101" w:rsidRPr="002B1B34">
        <w:t>n 21.</w:t>
      </w:r>
      <w:r w:rsidR="00684FAB" w:rsidRPr="002B1B34">
        <w:t>772</w:t>
      </w:r>
      <w:r w:rsidR="00FF3973" w:rsidRPr="002B1B34">
        <w:t xml:space="preserve"> incidenti, </w:t>
      </w:r>
      <w:r w:rsidR="004F2101" w:rsidRPr="002B1B34">
        <w:t>1.7</w:t>
      </w:r>
      <w:r w:rsidR="00684FAB" w:rsidRPr="002B1B34">
        <w:t>95</w:t>
      </w:r>
      <w:r w:rsidR="004F2101" w:rsidRPr="002B1B34">
        <w:t xml:space="preserve"> morti </w:t>
      </w:r>
      <w:r w:rsidR="00FF3973" w:rsidRPr="002B1B34">
        <w:t>e 3</w:t>
      </w:r>
      <w:r w:rsidR="00684FAB" w:rsidRPr="002B1B34">
        <w:t>5</w:t>
      </w:r>
      <w:r w:rsidR="00FF3973" w:rsidRPr="002B1B34">
        <w:t>.</w:t>
      </w:r>
      <w:r w:rsidR="00684FAB" w:rsidRPr="002B1B34">
        <w:t>087</w:t>
      </w:r>
      <w:r w:rsidR="00FF3973" w:rsidRPr="002B1B34">
        <w:t xml:space="preserve"> feriti </w:t>
      </w:r>
      <w:r w:rsidR="005B3101" w:rsidRPr="002B1B34">
        <w:t>in meno</w:t>
      </w:r>
      <w:r w:rsidR="001E355B" w:rsidRPr="002B1B34">
        <w:t xml:space="preserve"> rispetto ai livelli di tale anno</w:t>
      </w:r>
      <w:r w:rsidR="00517534" w:rsidRPr="002B1B34">
        <w:t>.</w:t>
      </w:r>
    </w:p>
    <w:p w:rsidR="00851A08" w:rsidRPr="002B1B34" w:rsidRDefault="00851A08" w:rsidP="00851A08">
      <w:pPr>
        <w:spacing w:line="360" w:lineRule="auto"/>
        <w:jc w:val="both"/>
      </w:pPr>
      <w:r w:rsidRPr="002B1B34">
        <w:t>Con la risoluzione 64/255, è stato aperto il decennio 2011-2020 della sicurezza stradale, chiamando in causa tutte le Nazioni: il decennio si pone come primo obiettivo una progressiva riduzione delle vittime, fissata dall’Unione Europea per il 2020 ad un dimezzamento rispetto al numero di morti rilevati nel 2010, progredendo verso un Mondo in cui la mobilità possa essere sicura per tutti gli utenti della strada. Nel 201</w:t>
      </w:r>
      <w:r w:rsidR="00A4620A" w:rsidRPr="002B1B34">
        <w:t>5</w:t>
      </w:r>
      <w:r w:rsidRPr="002B1B34">
        <w:t xml:space="preserve"> rispetto al 2010 sono stati rilevati </w:t>
      </w:r>
      <w:r w:rsidR="00A4620A" w:rsidRPr="002B1B34">
        <w:t>10</w:t>
      </w:r>
      <w:r w:rsidRPr="002B1B34">
        <w:t>.</w:t>
      </w:r>
      <w:r w:rsidR="00A4620A" w:rsidRPr="002B1B34">
        <w:t>315</w:t>
      </w:r>
      <w:r w:rsidRPr="002B1B34">
        <w:t xml:space="preserve"> incidenti totali in meno, </w:t>
      </w:r>
      <w:r w:rsidR="00BC01D0" w:rsidRPr="002B1B34">
        <w:t>3</w:t>
      </w:r>
      <w:r w:rsidR="00A4620A" w:rsidRPr="002B1B34">
        <w:t>22</w:t>
      </w:r>
      <w:r w:rsidRPr="002B1B34">
        <w:t xml:space="preserve"> incidenti mortali in meno con un risparmio di </w:t>
      </w:r>
      <w:r w:rsidR="00BC01D0" w:rsidRPr="002B1B34">
        <w:t>3</w:t>
      </w:r>
      <w:r w:rsidR="00A4620A" w:rsidRPr="002B1B34">
        <w:t>52</w:t>
      </w:r>
      <w:r w:rsidRPr="002B1B34">
        <w:t xml:space="preserve"> vite umane e </w:t>
      </w:r>
      <w:r w:rsidR="00BC01D0" w:rsidRPr="002B1B34">
        <w:t>16</w:t>
      </w:r>
      <w:r w:rsidRPr="002B1B34">
        <w:t>.</w:t>
      </w:r>
      <w:r w:rsidR="00A4620A" w:rsidRPr="002B1B34">
        <w:t>256</w:t>
      </w:r>
      <w:r w:rsidRPr="002B1B34">
        <w:t xml:space="preserve"> feriti</w:t>
      </w:r>
      <w:r w:rsidR="00BC01D0" w:rsidRPr="002B1B34">
        <w:t>, ma siamo ancora ad una percentuale di riduzione della mortalità del 2</w:t>
      </w:r>
      <w:r w:rsidR="009619DF" w:rsidRPr="002B1B34">
        <w:t>1</w:t>
      </w:r>
      <w:r w:rsidR="00BC01D0" w:rsidRPr="002B1B34">
        <w:t>,</w:t>
      </w:r>
      <w:r w:rsidR="009619DF" w:rsidRPr="002B1B34">
        <w:t>3</w:t>
      </w:r>
      <w:r w:rsidR="00BC01D0" w:rsidRPr="002B1B34">
        <w:t>% sulla rete viaria principale e del 1</w:t>
      </w:r>
      <w:r w:rsidR="009619DF" w:rsidRPr="002B1B34">
        <w:t>6</w:t>
      </w:r>
      <w:r w:rsidR="00BC01D0" w:rsidRPr="002B1B34">
        <w:t>,</w:t>
      </w:r>
      <w:r w:rsidR="009619DF" w:rsidRPr="002B1B34">
        <w:t>7</w:t>
      </w:r>
      <w:r w:rsidR="00BC01D0" w:rsidRPr="002B1B34">
        <w:t>% su tutta la rete</w:t>
      </w:r>
      <w:r w:rsidRPr="002B1B34">
        <w:t>.</w:t>
      </w:r>
    </w:p>
    <w:p w:rsidR="005100F6" w:rsidRPr="002B1B34" w:rsidRDefault="005100F6" w:rsidP="00851A08">
      <w:pPr>
        <w:spacing w:line="360" w:lineRule="auto"/>
        <w:jc w:val="both"/>
      </w:pPr>
    </w:p>
    <w:p w:rsidR="005100F6" w:rsidRPr="002B1B34" w:rsidRDefault="004A34A0" w:rsidP="00851A08">
      <w:pPr>
        <w:spacing w:line="360" w:lineRule="auto"/>
        <w:jc w:val="both"/>
      </w:pPr>
      <w:r w:rsidRPr="002B1B34">
        <w:rPr>
          <w:noProof/>
        </w:rPr>
        <w:drawing>
          <wp:inline distT="0" distB="0" distL="0" distR="0">
            <wp:extent cx="6112382" cy="2856803"/>
            <wp:effectExtent l="19050" t="0" r="2668" b="0"/>
            <wp:docPr id="1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6110547" cy="2855945"/>
                    </a:xfrm>
                    <a:prstGeom prst="rect">
                      <a:avLst/>
                    </a:prstGeom>
                    <a:noFill/>
                  </pic:spPr>
                </pic:pic>
              </a:graphicData>
            </a:graphic>
          </wp:inline>
        </w:drawing>
      </w:r>
    </w:p>
    <w:p w:rsidR="005100F6" w:rsidRPr="002B1B34" w:rsidRDefault="005100F6" w:rsidP="00517534">
      <w:pPr>
        <w:spacing w:line="360" w:lineRule="auto"/>
        <w:jc w:val="both"/>
      </w:pPr>
    </w:p>
    <w:p w:rsidR="003C61EF" w:rsidRPr="002B1B34" w:rsidRDefault="003C61EF" w:rsidP="00517534">
      <w:pPr>
        <w:spacing w:line="360" w:lineRule="auto"/>
        <w:jc w:val="both"/>
      </w:pPr>
      <w:r w:rsidRPr="002B1B34">
        <w:t>Dal grafico emerge chiaramente che gli anni in cui si sono avuti i maggiori decrementi di incidentalità sono il 2003</w:t>
      </w:r>
      <w:r w:rsidR="00B343E0" w:rsidRPr="002B1B34">
        <w:t>,</w:t>
      </w:r>
      <w:r w:rsidRPr="002B1B34">
        <w:t xml:space="preserve"> – anno di introduzione della patente a punti - il 2008 – anno in cui il decreto Bianchi ha introdotto importanti novità in particolare sulla guida in stato di ebbrezza o sotto l’effetto di droghe – e il 2011 probabilmente a seguito della L.120/2010 che </w:t>
      </w:r>
      <w:r w:rsidR="00BC1029" w:rsidRPr="002B1B34">
        <w:t xml:space="preserve">tra l’altro </w:t>
      </w:r>
      <w:r w:rsidRPr="002B1B34">
        <w:t xml:space="preserve">ha inasprito </w:t>
      </w:r>
      <w:r w:rsidR="00942511" w:rsidRPr="002B1B34">
        <w:t>ulteriormente alcune sanzioni nello specifico per neopatentati.</w:t>
      </w:r>
    </w:p>
    <w:p w:rsidR="00364A67" w:rsidRPr="002B1B34" w:rsidRDefault="00DC7366" w:rsidP="00517534">
      <w:pPr>
        <w:spacing w:line="360" w:lineRule="auto"/>
        <w:jc w:val="both"/>
      </w:pPr>
      <w:r w:rsidRPr="002B1B34">
        <w:t xml:space="preserve">Dalla ripartizione di </w:t>
      </w:r>
      <w:r w:rsidRPr="002B1B34">
        <w:rPr>
          <w:b/>
        </w:rPr>
        <w:t>incidenti per tipo di strada</w:t>
      </w:r>
      <w:r w:rsidR="004A34A0" w:rsidRPr="002B1B34">
        <w:t xml:space="preserve">, </w:t>
      </w:r>
      <w:r w:rsidRPr="002B1B34">
        <w:t>a</w:t>
      </w:r>
      <w:r w:rsidR="00910D37" w:rsidRPr="002B1B34">
        <w:t>utostrada e strada extraurbana</w:t>
      </w:r>
      <w:r w:rsidR="005B540F" w:rsidRPr="002B1B34">
        <w:t xml:space="preserve">, </w:t>
      </w:r>
      <w:r w:rsidR="004A34A0" w:rsidRPr="002B1B34">
        <w:t>s</w:t>
      </w:r>
      <w:r w:rsidR="00910D37" w:rsidRPr="002B1B34">
        <w:t xml:space="preserve">i rileva che in media </w:t>
      </w:r>
      <w:r w:rsidR="000A596F" w:rsidRPr="002B1B34">
        <w:t>circa il 25</w:t>
      </w:r>
      <w:r w:rsidR="00910D37" w:rsidRPr="002B1B34">
        <w:t>% si verifica sulle autostrade ed il restante 7</w:t>
      </w:r>
      <w:r w:rsidR="000A596F" w:rsidRPr="002B1B34">
        <w:t>5</w:t>
      </w:r>
      <w:r w:rsidR="00910D37" w:rsidRPr="002B1B34">
        <w:t>% sulle strade extraurbane</w:t>
      </w:r>
      <w:r w:rsidR="001844EE" w:rsidRPr="002B1B34">
        <w:t>; nel 201</w:t>
      </w:r>
      <w:r w:rsidR="005B540F" w:rsidRPr="002B1B34">
        <w:t xml:space="preserve">5 si è registrata una crescita </w:t>
      </w:r>
      <w:r w:rsidR="001844EE" w:rsidRPr="002B1B34">
        <w:t>del</w:t>
      </w:r>
      <w:r w:rsidR="005B540F" w:rsidRPr="002B1B34">
        <w:t>lo 0</w:t>
      </w:r>
      <w:r w:rsidR="00297B84" w:rsidRPr="002B1B34">
        <w:t>,9</w:t>
      </w:r>
      <w:r w:rsidR="00B6769D" w:rsidRPr="002B1B34">
        <w:t>% de</w:t>
      </w:r>
      <w:r w:rsidR="001844EE" w:rsidRPr="002B1B34">
        <w:t>gli incide</w:t>
      </w:r>
      <w:r w:rsidR="005B540F" w:rsidRPr="002B1B34">
        <w:t xml:space="preserve">nti accaduti sulle autostrade ed una flessione </w:t>
      </w:r>
      <w:r w:rsidR="001844EE" w:rsidRPr="002B1B34">
        <w:t>del</w:t>
      </w:r>
      <w:r w:rsidR="00297B84" w:rsidRPr="002B1B34">
        <w:t xml:space="preserve"> </w:t>
      </w:r>
      <w:r w:rsidR="00B141DF" w:rsidRPr="002B1B34">
        <w:t>2</w:t>
      </w:r>
      <w:r w:rsidR="00297B84" w:rsidRPr="002B1B34">
        <w:t>,</w:t>
      </w:r>
      <w:r w:rsidR="00B141DF" w:rsidRPr="002B1B34">
        <w:t>1</w:t>
      </w:r>
      <w:r w:rsidR="001844EE" w:rsidRPr="002B1B34">
        <w:t xml:space="preserve">% </w:t>
      </w:r>
      <w:r w:rsidR="00B141DF" w:rsidRPr="002B1B34">
        <w:t>per</w:t>
      </w:r>
      <w:r w:rsidR="001844EE" w:rsidRPr="002B1B34">
        <w:t xml:space="preserve"> quelli accaduti su strade extraurbane.</w:t>
      </w:r>
      <w:r w:rsidR="00910D37" w:rsidRPr="002B1B34">
        <w:t xml:space="preserve"> </w:t>
      </w:r>
    </w:p>
    <w:p w:rsidR="00DC7366" w:rsidRPr="002B1B34" w:rsidRDefault="00DC7366" w:rsidP="00517534">
      <w:pPr>
        <w:spacing w:line="360" w:lineRule="auto"/>
        <w:jc w:val="both"/>
      </w:pPr>
    </w:p>
    <w:p w:rsidR="00364A67" w:rsidRPr="002B1B34" w:rsidRDefault="004A34A0" w:rsidP="00517534">
      <w:pPr>
        <w:spacing w:line="360" w:lineRule="auto"/>
        <w:jc w:val="both"/>
      </w:pPr>
      <w:r w:rsidRPr="002B1B34">
        <w:rPr>
          <w:noProof/>
        </w:rPr>
        <w:drawing>
          <wp:inline distT="0" distB="0" distL="0" distR="0">
            <wp:extent cx="6150950" cy="3032760"/>
            <wp:effectExtent l="19050" t="0" r="2200" b="0"/>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150950" cy="3032760"/>
                    </a:xfrm>
                    <a:prstGeom prst="rect">
                      <a:avLst/>
                    </a:prstGeom>
                    <a:noFill/>
                  </pic:spPr>
                </pic:pic>
              </a:graphicData>
            </a:graphic>
          </wp:inline>
        </w:drawing>
      </w:r>
    </w:p>
    <w:p w:rsidR="000E2A25" w:rsidRDefault="000E2A25" w:rsidP="00517534">
      <w:pPr>
        <w:spacing w:line="360" w:lineRule="auto"/>
        <w:jc w:val="both"/>
      </w:pPr>
    </w:p>
    <w:p w:rsidR="002B1B34" w:rsidRDefault="002B1B34" w:rsidP="00517534">
      <w:pPr>
        <w:spacing w:line="360" w:lineRule="auto"/>
        <w:jc w:val="both"/>
      </w:pPr>
    </w:p>
    <w:p w:rsidR="002B1B34" w:rsidRPr="002B1B34" w:rsidRDefault="002B1B34" w:rsidP="00517534">
      <w:pPr>
        <w:spacing w:line="360" w:lineRule="auto"/>
        <w:jc w:val="both"/>
      </w:pPr>
    </w:p>
    <w:p w:rsidR="000E2A25" w:rsidRPr="002B1B34" w:rsidRDefault="00772581" w:rsidP="00517534">
      <w:pPr>
        <w:spacing w:line="360" w:lineRule="auto"/>
        <w:jc w:val="both"/>
      </w:pPr>
      <w:r w:rsidRPr="002B1B34">
        <w:t xml:space="preserve">Considerando gli </w:t>
      </w:r>
      <w:r w:rsidRPr="002B1B34">
        <w:rPr>
          <w:b/>
        </w:rPr>
        <w:t>incidenti per km</w:t>
      </w:r>
      <w:r w:rsidRPr="002B1B34">
        <w:t xml:space="preserve">, complessivamente </w:t>
      </w:r>
      <w:r w:rsidR="00297B84" w:rsidRPr="002B1B34">
        <w:t xml:space="preserve">anche </w:t>
      </w:r>
      <w:r w:rsidRPr="002B1B34">
        <w:t>nel 201</w:t>
      </w:r>
      <w:r w:rsidR="00113058" w:rsidRPr="002B1B34">
        <w:t>5</w:t>
      </w:r>
      <w:r w:rsidR="00C638E0" w:rsidRPr="002B1B34">
        <w:t>, come nel 2014,</w:t>
      </w:r>
      <w:r w:rsidRPr="002B1B34">
        <w:t xml:space="preserve"> si sono verificati circa 2 incidenti ogni 3 km (0,6</w:t>
      </w:r>
      <w:r w:rsidR="00113058" w:rsidRPr="002B1B34">
        <w:t>7</w:t>
      </w:r>
      <w:r w:rsidRPr="002B1B34">
        <w:t xml:space="preserve"> incidenti per km) di cui 1,</w:t>
      </w:r>
      <w:r w:rsidR="00297B84" w:rsidRPr="002B1B34">
        <w:t>2</w:t>
      </w:r>
      <w:r w:rsidRPr="002B1B34">
        <w:t xml:space="preserve"> sulle autostrade e 0,6 sulle strade extraurbane: la frequenza degli incidenti per km è in generale più elevata sulle autostrade per il maggior flusso di traffico </w:t>
      </w:r>
      <w:r w:rsidR="00C754E2" w:rsidRPr="002B1B34">
        <w:t>vista anche la maggiore larghezza del nastro stradale.</w:t>
      </w:r>
      <w:r w:rsidR="00A25748" w:rsidRPr="002B1B34">
        <w:t xml:space="preserve"> </w:t>
      </w:r>
      <w:r w:rsidR="00D83544" w:rsidRPr="002B1B34">
        <w:t>L’indice incidenti</w:t>
      </w:r>
      <w:r w:rsidR="00CA08EA" w:rsidRPr="002B1B34">
        <w:t xml:space="preserve"> </w:t>
      </w:r>
      <w:r w:rsidR="00A25748" w:rsidRPr="002B1B34">
        <w:t xml:space="preserve">per km </w:t>
      </w:r>
      <w:r w:rsidR="00D83544" w:rsidRPr="002B1B34">
        <w:t>è diminuito</w:t>
      </w:r>
      <w:r w:rsidR="00A25748" w:rsidRPr="002B1B34">
        <w:t xml:space="preserve"> </w:t>
      </w:r>
      <w:r w:rsidR="00D83544" w:rsidRPr="002B1B34">
        <w:t>de</w:t>
      </w:r>
      <w:r w:rsidR="00BF1F9D" w:rsidRPr="002B1B34">
        <w:t>l 3</w:t>
      </w:r>
      <w:r w:rsidR="00BD01AC" w:rsidRPr="002B1B34">
        <w:t>2</w:t>
      </w:r>
      <w:r w:rsidR="00BF1F9D" w:rsidRPr="002B1B34">
        <w:t>,</w:t>
      </w:r>
      <w:r w:rsidR="00BD01AC" w:rsidRPr="002B1B34">
        <w:t>5</w:t>
      </w:r>
      <w:r w:rsidR="00A25748" w:rsidRPr="002B1B34">
        <w:t>%</w:t>
      </w:r>
      <w:r w:rsidR="00D83544" w:rsidRPr="002B1B34">
        <w:t xml:space="preserve"> dal 2001 al 201</w:t>
      </w:r>
      <w:r w:rsidR="00BD01AC" w:rsidRPr="002B1B34">
        <w:t>5</w:t>
      </w:r>
      <w:r w:rsidR="00A25748" w:rsidRPr="002B1B34">
        <w:t xml:space="preserve"> e d</w:t>
      </w:r>
      <w:r w:rsidR="00BF1F9D" w:rsidRPr="002B1B34">
        <w:t>i quasi il 2</w:t>
      </w:r>
      <w:r w:rsidR="00BD01AC" w:rsidRPr="002B1B34">
        <w:t>1</w:t>
      </w:r>
      <w:r w:rsidR="00D83544" w:rsidRPr="002B1B34">
        <w:t>% rispetto al 201</w:t>
      </w:r>
      <w:r w:rsidR="00BF1F9D" w:rsidRPr="002B1B34">
        <w:t>0</w:t>
      </w:r>
      <w:r w:rsidR="00D768B5" w:rsidRPr="002B1B34">
        <w:t>; sulla A24 nella tratta di penetrazione urbana GRA-</w:t>
      </w:r>
      <w:proofErr w:type="spellStart"/>
      <w:r w:rsidR="00D768B5" w:rsidRPr="002B1B34">
        <w:t>Portonaccio</w:t>
      </w:r>
      <w:proofErr w:type="spellEnd"/>
      <w:r w:rsidR="00D768B5" w:rsidRPr="002B1B34">
        <w:t xml:space="preserve"> lunga 7,2 km a Roma hanno avuto luogo ben 15 incidenti per km nel 2015</w:t>
      </w:r>
      <w:r w:rsidR="00BD01AC" w:rsidRPr="002B1B34">
        <w:t xml:space="preserve">. </w:t>
      </w:r>
      <w:r w:rsidR="008D6B2A" w:rsidRPr="002B1B34">
        <w:t>La maggiore flessione si è rilevata per gli incidenti al km in autostrada con circa il 2</w:t>
      </w:r>
      <w:r w:rsidR="00555AD6" w:rsidRPr="002B1B34">
        <w:t>4</w:t>
      </w:r>
      <w:r w:rsidR="008D6B2A" w:rsidRPr="002B1B34">
        <w:t>% in meno rispetto al 2010 e circa il 40% rispetto al 2001; le variazioni corrispondenti per gli incidenti-km nelle strade extraurbane sono state rispettivamente</w:t>
      </w:r>
      <w:r w:rsidR="00750F7F" w:rsidRPr="002B1B34">
        <w:t xml:space="preserve"> </w:t>
      </w:r>
      <w:r w:rsidR="008D6B2A" w:rsidRPr="002B1B34">
        <w:t>-</w:t>
      </w:r>
      <w:r w:rsidR="00555AD6" w:rsidRPr="002B1B34">
        <w:t>20</w:t>
      </w:r>
      <w:r w:rsidR="008D6B2A" w:rsidRPr="002B1B34">
        <w:t xml:space="preserve">% </w:t>
      </w:r>
      <w:r w:rsidR="00555AD6" w:rsidRPr="002B1B34">
        <w:t xml:space="preserve">circa </w:t>
      </w:r>
      <w:r w:rsidR="008D6B2A" w:rsidRPr="002B1B34">
        <w:t>e -2</w:t>
      </w:r>
      <w:r w:rsidR="00555AD6" w:rsidRPr="002B1B34">
        <w:t>9,6</w:t>
      </w:r>
      <w:r w:rsidR="008D6B2A" w:rsidRPr="002B1B34">
        <w:t>%.</w:t>
      </w:r>
    </w:p>
    <w:p w:rsidR="006C0557" w:rsidRPr="002B1B34" w:rsidRDefault="00113058" w:rsidP="00517534">
      <w:pPr>
        <w:spacing w:line="360" w:lineRule="auto"/>
        <w:jc w:val="both"/>
      </w:pPr>
      <w:r w:rsidRPr="002B1B34">
        <w:rPr>
          <w:noProof/>
        </w:rPr>
        <w:lastRenderedPageBreak/>
        <w:drawing>
          <wp:inline distT="0" distB="0" distL="0" distR="0">
            <wp:extent cx="6209793" cy="2938433"/>
            <wp:effectExtent l="19050" t="0" r="507" b="0"/>
            <wp:docPr id="1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6215676" cy="2941217"/>
                    </a:xfrm>
                    <a:prstGeom prst="rect">
                      <a:avLst/>
                    </a:prstGeom>
                    <a:noFill/>
                  </pic:spPr>
                </pic:pic>
              </a:graphicData>
            </a:graphic>
          </wp:inline>
        </w:drawing>
      </w:r>
    </w:p>
    <w:p w:rsidR="00000EC0" w:rsidRPr="002B1B34" w:rsidRDefault="00000EC0" w:rsidP="00517534">
      <w:pPr>
        <w:spacing w:line="360" w:lineRule="auto"/>
        <w:jc w:val="both"/>
      </w:pPr>
    </w:p>
    <w:p w:rsidR="00241968" w:rsidRPr="002B1B34" w:rsidRDefault="005272AE" w:rsidP="00517534">
      <w:pPr>
        <w:spacing w:line="360" w:lineRule="auto"/>
        <w:jc w:val="both"/>
      </w:pPr>
      <w:r w:rsidRPr="002B1B34">
        <w:rPr>
          <w:b/>
        </w:rPr>
        <w:t>Gli incidenti che hanno causato morti</w:t>
      </w:r>
      <w:r w:rsidRPr="002B1B34">
        <w:t xml:space="preserve"> nel 201</w:t>
      </w:r>
      <w:r w:rsidR="00241968" w:rsidRPr="002B1B34">
        <w:t>5</w:t>
      </w:r>
      <w:r w:rsidRPr="002B1B34">
        <w:t xml:space="preserve"> sono stati 1.1</w:t>
      </w:r>
      <w:r w:rsidR="00241968" w:rsidRPr="002B1B34">
        <w:t>86</w:t>
      </w:r>
      <w:r w:rsidR="00895E4F" w:rsidRPr="002B1B34">
        <w:t>,</w:t>
      </w:r>
      <w:r w:rsidRPr="002B1B34">
        <w:t xml:space="preserve"> riportando una </w:t>
      </w:r>
      <w:r w:rsidR="00000EC0" w:rsidRPr="002B1B34">
        <w:t xml:space="preserve">lieve </w:t>
      </w:r>
      <w:r w:rsidR="00241968" w:rsidRPr="002B1B34">
        <w:t>flessione</w:t>
      </w:r>
      <w:r w:rsidRPr="002B1B34">
        <w:t xml:space="preserve"> d</w:t>
      </w:r>
      <w:r w:rsidR="00C34B3A" w:rsidRPr="002B1B34">
        <w:t>ello 0,</w:t>
      </w:r>
      <w:r w:rsidR="00241968" w:rsidRPr="002B1B34">
        <w:t>8</w:t>
      </w:r>
      <w:r w:rsidR="00C34B3A" w:rsidRPr="002B1B34">
        <w:t>% rispetto al 201</w:t>
      </w:r>
      <w:r w:rsidR="00241968" w:rsidRPr="002B1B34">
        <w:t>4</w:t>
      </w:r>
      <w:r w:rsidR="00C34B3A" w:rsidRPr="002B1B34">
        <w:t>; è leggermente aumentata</w:t>
      </w:r>
      <w:r w:rsidR="00241968" w:rsidRPr="002B1B34">
        <w:t>, al contrario,</w:t>
      </w:r>
      <w:r w:rsidR="00895E4F" w:rsidRPr="002B1B34">
        <w:t xml:space="preserve"> la quota degli incidenti con morti sul totale degli incidenti, che da</w:t>
      </w:r>
      <w:r w:rsidR="00C34B3A" w:rsidRPr="002B1B34">
        <w:t>l 3,</w:t>
      </w:r>
      <w:r w:rsidR="00241968" w:rsidRPr="002B1B34">
        <w:t>22</w:t>
      </w:r>
      <w:r w:rsidR="00C34B3A" w:rsidRPr="002B1B34">
        <w:t>% del 201</w:t>
      </w:r>
      <w:r w:rsidR="00241968" w:rsidRPr="002B1B34">
        <w:t>4</w:t>
      </w:r>
      <w:r w:rsidR="00895E4F" w:rsidRPr="002B1B34">
        <w:t xml:space="preserve"> </w:t>
      </w:r>
      <w:r w:rsidR="00241968" w:rsidRPr="002B1B34">
        <w:t xml:space="preserve">(stesso valore rilevato anche nel 2010) </w:t>
      </w:r>
      <w:r w:rsidR="00895E4F" w:rsidRPr="002B1B34">
        <w:t>è passata al 3,2</w:t>
      </w:r>
      <w:r w:rsidR="00241968" w:rsidRPr="002B1B34">
        <w:t>4</w:t>
      </w:r>
      <w:r w:rsidR="00895E4F" w:rsidRPr="002B1B34">
        <w:t>% nel 201</w:t>
      </w:r>
      <w:r w:rsidR="00241968" w:rsidRPr="002B1B34">
        <w:t>5.</w:t>
      </w:r>
    </w:p>
    <w:p w:rsidR="00751794" w:rsidRPr="002B1B34" w:rsidRDefault="00751794" w:rsidP="00517534">
      <w:pPr>
        <w:spacing w:line="360" w:lineRule="auto"/>
        <w:jc w:val="both"/>
      </w:pPr>
      <w:r w:rsidRPr="002B1B34">
        <w:t>Il 77</w:t>
      </w:r>
      <w:r w:rsidR="00B06FBA" w:rsidRPr="002B1B34">
        <w:t xml:space="preserve">% degli incidenti mortali </w:t>
      </w:r>
      <w:r w:rsidR="00E44AB6" w:rsidRPr="002B1B34">
        <w:t>è avvenuto</w:t>
      </w:r>
      <w:r w:rsidR="00B06FBA" w:rsidRPr="002B1B34">
        <w:t xml:space="preserve"> sulle strade extraurbane </w:t>
      </w:r>
      <w:r w:rsidR="0014436A" w:rsidRPr="002B1B34">
        <w:t>su cui</w:t>
      </w:r>
      <w:r w:rsidRPr="002B1B34">
        <w:t xml:space="preserve">, tuttavia, </w:t>
      </w:r>
      <w:r w:rsidR="007F4AEF" w:rsidRPr="002B1B34">
        <w:t>è stato osservato un</w:t>
      </w:r>
      <w:r w:rsidRPr="002B1B34">
        <w:t xml:space="preserve"> de</w:t>
      </w:r>
      <w:r w:rsidR="0014436A" w:rsidRPr="002B1B34">
        <w:t xml:space="preserve">cremento </w:t>
      </w:r>
      <w:r w:rsidRPr="002B1B34">
        <w:t xml:space="preserve">del 3,9% rispetto al 2014; al contrario sulle autostrade, dove si </w:t>
      </w:r>
      <w:r w:rsidR="00AE3A38" w:rsidRPr="002B1B34">
        <w:t xml:space="preserve">è </w:t>
      </w:r>
      <w:r w:rsidRPr="002B1B34">
        <w:t>verifica</w:t>
      </w:r>
      <w:r w:rsidR="00AE3A38" w:rsidRPr="002B1B34">
        <w:t>to</w:t>
      </w:r>
      <w:r w:rsidRPr="002B1B34">
        <w:t xml:space="preserve"> il 23% degli incidenti mortali, si è rilevata una forte crescita, pari all’11,5%.</w:t>
      </w:r>
    </w:p>
    <w:p w:rsidR="000E2A25" w:rsidRPr="002B1B34" w:rsidRDefault="000A3C0B" w:rsidP="00517534">
      <w:pPr>
        <w:spacing w:line="360" w:lineRule="auto"/>
        <w:jc w:val="both"/>
      </w:pPr>
      <w:r w:rsidRPr="002B1B34">
        <w:t>Nel 201</w:t>
      </w:r>
      <w:r w:rsidR="003C2F72" w:rsidRPr="002B1B34">
        <w:t xml:space="preserve">5, come nell’anno precedente, </w:t>
      </w:r>
      <w:r w:rsidRPr="002B1B34">
        <w:t xml:space="preserve">si sono </w:t>
      </w:r>
      <w:r w:rsidR="003C2F72" w:rsidRPr="002B1B34">
        <w:t>riscontrati</w:t>
      </w:r>
      <w:r w:rsidRPr="002B1B34">
        <w:t xml:space="preserve"> </w:t>
      </w:r>
      <w:r w:rsidR="007017FE" w:rsidRPr="002B1B34">
        <w:t xml:space="preserve">in media </w:t>
      </w:r>
      <w:r w:rsidRPr="002B1B34">
        <w:t>0,02</w:t>
      </w:r>
      <w:r w:rsidR="00A26B90" w:rsidRPr="002B1B34">
        <w:t>2</w:t>
      </w:r>
      <w:r w:rsidRPr="002B1B34">
        <w:t xml:space="preserve"> incidenti con morti per km</w:t>
      </w:r>
      <w:r w:rsidR="00A26B90" w:rsidRPr="002B1B34">
        <w:t xml:space="preserve">, </w:t>
      </w:r>
      <w:r w:rsidRPr="002B1B34">
        <w:t>0,03</w:t>
      </w:r>
      <w:r w:rsidR="003C2F72" w:rsidRPr="002B1B34">
        <w:t>7</w:t>
      </w:r>
      <w:r w:rsidRPr="002B1B34">
        <w:t xml:space="preserve"> su autostrade e </w:t>
      </w:r>
      <w:r w:rsidR="007017FE" w:rsidRPr="002B1B34">
        <w:t>0,0</w:t>
      </w:r>
      <w:r w:rsidR="003C2F72" w:rsidRPr="002B1B34">
        <w:t xml:space="preserve">19 </w:t>
      </w:r>
      <w:r w:rsidR="007017FE" w:rsidRPr="002B1B34">
        <w:t>su strade extraurbane</w:t>
      </w:r>
      <w:r w:rsidR="00A26B90" w:rsidRPr="002B1B34">
        <w:t>, pertanto anche per gli incidenti mortali, nonostante sia decisamente inferiore il numero assoluto sulle autostrade piuttosto che sulle strade extraurbane, rispetto alla corrispondente estesa stradale è più alta la frequenza di incidenti mortali sulle autostrade</w:t>
      </w:r>
      <w:r w:rsidR="007017FE" w:rsidRPr="002B1B34">
        <w:t>.</w:t>
      </w:r>
    </w:p>
    <w:p w:rsidR="00413408" w:rsidRPr="002B1B34" w:rsidRDefault="00460799" w:rsidP="00517534">
      <w:pPr>
        <w:spacing w:line="360" w:lineRule="auto"/>
        <w:jc w:val="both"/>
      </w:pPr>
      <w:r w:rsidRPr="002B1B34">
        <w:t>N</w:t>
      </w:r>
      <w:r w:rsidR="00F618FB" w:rsidRPr="002B1B34">
        <w:t>el 201</w:t>
      </w:r>
      <w:r w:rsidR="005D7C07" w:rsidRPr="002B1B34">
        <w:t>5</w:t>
      </w:r>
      <w:r w:rsidR="00F618FB" w:rsidRPr="002B1B34">
        <w:t xml:space="preserve"> sono stati registrati 1.3</w:t>
      </w:r>
      <w:r w:rsidR="005D7C07" w:rsidRPr="002B1B34">
        <w:t>02</w:t>
      </w:r>
      <w:r w:rsidR="00F618FB" w:rsidRPr="002B1B34">
        <w:t xml:space="preserve"> </w:t>
      </w:r>
      <w:r w:rsidR="00D83544" w:rsidRPr="002B1B34">
        <w:rPr>
          <w:b/>
        </w:rPr>
        <w:t>decessi</w:t>
      </w:r>
      <w:r w:rsidR="00F618FB" w:rsidRPr="002B1B34">
        <w:t xml:space="preserve">, </w:t>
      </w:r>
      <w:r w:rsidR="00105B68" w:rsidRPr="002B1B34">
        <w:t>2</w:t>
      </w:r>
      <w:r w:rsidR="005D7C07" w:rsidRPr="002B1B34">
        <w:t>0</w:t>
      </w:r>
      <w:r w:rsidR="00F618FB" w:rsidRPr="002B1B34">
        <w:t xml:space="preserve"> in meno rispetto al 201</w:t>
      </w:r>
      <w:r w:rsidR="005D7C07" w:rsidRPr="002B1B34">
        <w:t>4 (riduzione dell’1,5</w:t>
      </w:r>
      <w:r w:rsidR="00F618FB" w:rsidRPr="002B1B34">
        <w:t>%)</w:t>
      </w:r>
      <w:r w:rsidR="00554484" w:rsidRPr="002B1B34">
        <w:t>.</w:t>
      </w:r>
      <w:r w:rsidR="00F618FB" w:rsidRPr="002B1B34">
        <w:t xml:space="preserve"> </w:t>
      </w:r>
      <w:r w:rsidR="00554484" w:rsidRPr="002B1B34">
        <w:t xml:space="preserve">A confronto con il 2001 i decessi sono stati </w:t>
      </w:r>
      <w:r w:rsidR="00F618FB" w:rsidRPr="002B1B34">
        <w:t>1.7</w:t>
      </w:r>
      <w:r w:rsidR="000031D4" w:rsidRPr="002B1B34">
        <w:t>95</w:t>
      </w:r>
      <w:r w:rsidR="00F618FB" w:rsidRPr="002B1B34">
        <w:t xml:space="preserve"> in meno</w:t>
      </w:r>
      <w:r w:rsidR="00EF28BB" w:rsidRPr="002B1B34">
        <w:t xml:space="preserve"> </w:t>
      </w:r>
      <w:r w:rsidR="00F618FB" w:rsidRPr="002B1B34">
        <w:t>(-5</w:t>
      </w:r>
      <w:r w:rsidR="000031D4" w:rsidRPr="002B1B34">
        <w:t>8</w:t>
      </w:r>
      <w:r w:rsidR="00F618FB" w:rsidRPr="002B1B34">
        <w:t>%)</w:t>
      </w:r>
      <w:r w:rsidR="00105B68" w:rsidRPr="002B1B34">
        <w:t xml:space="preserve"> e 3</w:t>
      </w:r>
      <w:r w:rsidR="000031D4" w:rsidRPr="002B1B34">
        <w:t>52</w:t>
      </w:r>
      <w:r w:rsidR="00105B68" w:rsidRPr="002B1B34">
        <w:t xml:space="preserve"> in meno rispetto al 2010 (solamente il 2</w:t>
      </w:r>
      <w:r w:rsidR="000031D4" w:rsidRPr="002B1B34">
        <w:t>1,3</w:t>
      </w:r>
      <w:r w:rsidR="00105B68" w:rsidRPr="002B1B34">
        <w:t>% in meno contro l’obiettivo del 50% del decennio 2011/2020)</w:t>
      </w:r>
      <w:r w:rsidR="00D83544" w:rsidRPr="002B1B34">
        <w:t>.</w:t>
      </w:r>
      <w:r w:rsidR="007133F3" w:rsidRPr="002B1B34">
        <w:t xml:space="preserve"> </w:t>
      </w:r>
      <w:r w:rsidR="00D83544" w:rsidRPr="002B1B34">
        <w:t>I</w:t>
      </w:r>
      <w:r w:rsidR="007133F3" w:rsidRPr="002B1B34">
        <w:t>l 7</w:t>
      </w:r>
      <w:r w:rsidR="00DB78F3" w:rsidRPr="002B1B34">
        <w:t>7</w:t>
      </w:r>
      <w:r w:rsidR="007133F3" w:rsidRPr="002B1B34">
        <w:t>%</w:t>
      </w:r>
      <w:r w:rsidR="00D83544" w:rsidRPr="002B1B34">
        <w:t xml:space="preserve"> dei morti avviene</w:t>
      </w:r>
      <w:r w:rsidR="007133F3" w:rsidRPr="002B1B34">
        <w:t xml:space="preserve"> su strade extraurbane </w:t>
      </w:r>
      <w:r w:rsidR="00560739" w:rsidRPr="002B1B34">
        <w:t xml:space="preserve">dove </w:t>
      </w:r>
      <w:r w:rsidR="00DB78F3" w:rsidRPr="002B1B34">
        <w:t xml:space="preserve">allo stesso tempo </w:t>
      </w:r>
      <w:r w:rsidR="00560739" w:rsidRPr="002B1B34">
        <w:t>si è verificat</w:t>
      </w:r>
      <w:r w:rsidR="00DB78F3" w:rsidRPr="002B1B34">
        <w:t>o un decremento del 3</w:t>
      </w:r>
      <w:r w:rsidR="00413408" w:rsidRPr="002B1B34">
        <w:t>,</w:t>
      </w:r>
      <w:r w:rsidR="00DB78F3" w:rsidRPr="002B1B34">
        <w:t>7</w:t>
      </w:r>
      <w:r w:rsidR="00413408" w:rsidRPr="002B1B34">
        <w:t>% rispetto al 201</w:t>
      </w:r>
      <w:r w:rsidR="00DB78F3" w:rsidRPr="002B1B34">
        <w:t>4</w:t>
      </w:r>
      <w:r w:rsidR="00413408" w:rsidRPr="002B1B34">
        <w:t xml:space="preserve"> contro un</w:t>
      </w:r>
      <w:r w:rsidR="00DB78F3" w:rsidRPr="002B1B34">
        <w:t xml:space="preserve"> aumento d</w:t>
      </w:r>
      <w:r w:rsidR="00413408" w:rsidRPr="002B1B34">
        <w:t xml:space="preserve">el </w:t>
      </w:r>
      <w:r w:rsidR="00DB78F3" w:rsidRPr="002B1B34">
        <w:t>6</w:t>
      </w:r>
      <w:r w:rsidR="00413408" w:rsidRPr="002B1B34">
        <w:t>,</w:t>
      </w:r>
      <w:r w:rsidR="00DB78F3" w:rsidRPr="002B1B34">
        <w:t>3</w:t>
      </w:r>
      <w:r w:rsidR="00413408" w:rsidRPr="002B1B34">
        <w:t>% di morti su</w:t>
      </w:r>
      <w:r w:rsidR="00560739" w:rsidRPr="002B1B34">
        <w:t>lle autostrade</w:t>
      </w:r>
      <w:r w:rsidR="00413408" w:rsidRPr="002B1B34">
        <w:t xml:space="preserve">. </w:t>
      </w:r>
    </w:p>
    <w:p w:rsidR="004A2E98" w:rsidRPr="002B1B34" w:rsidRDefault="004A2E98" w:rsidP="00517534">
      <w:pPr>
        <w:spacing w:line="360" w:lineRule="auto"/>
        <w:jc w:val="both"/>
      </w:pPr>
    </w:p>
    <w:p w:rsidR="007017FE" w:rsidRPr="002B1B34" w:rsidRDefault="00601695" w:rsidP="00517534">
      <w:pPr>
        <w:spacing w:line="360" w:lineRule="auto"/>
        <w:jc w:val="both"/>
      </w:pPr>
      <w:r w:rsidRPr="002B1B34">
        <w:rPr>
          <w:noProof/>
        </w:rPr>
        <w:lastRenderedPageBreak/>
        <w:drawing>
          <wp:inline distT="0" distB="0" distL="0" distR="0">
            <wp:extent cx="6115050" cy="3123759"/>
            <wp:effectExtent l="19050" t="0" r="0" b="0"/>
            <wp:docPr id="19"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6121162" cy="3126881"/>
                    </a:xfrm>
                    <a:prstGeom prst="rect">
                      <a:avLst/>
                    </a:prstGeom>
                    <a:noFill/>
                  </pic:spPr>
                </pic:pic>
              </a:graphicData>
            </a:graphic>
          </wp:inline>
        </w:drawing>
      </w:r>
    </w:p>
    <w:p w:rsidR="00FF4371" w:rsidRPr="002B1B34" w:rsidRDefault="00FF4371" w:rsidP="00AE7E79">
      <w:pPr>
        <w:spacing w:line="360" w:lineRule="auto"/>
        <w:jc w:val="both"/>
      </w:pPr>
    </w:p>
    <w:p w:rsidR="00AE7E79" w:rsidRPr="002B1B34" w:rsidRDefault="00BF2230" w:rsidP="00AE7E79">
      <w:pPr>
        <w:spacing w:line="360" w:lineRule="auto"/>
        <w:jc w:val="both"/>
      </w:pPr>
      <w:r w:rsidRPr="002B1B34">
        <w:t>Con riferimento ai soli incidenti mortali, n</w:t>
      </w:r>
      <w:r w:rsidR="00AE7E79" w:rsidRPr="002B1B34">
        <w:t>el 201</w:t>
      </w:r>
      <w:r w:rsidR="00101726" w:rsidRPr="002B1B34">
        <w:t>5</w:t>
      </w:r>
      <w:r w:rsidR="00AE7E79" w:rsidRPr="002B1B34">
        <w:t xml:space="preserve"> sono stati rilevati nel complesso </w:t>
      </w:r>
      <w:r w:rsidRPr="002B1B34">
        <w:t>1,1</w:t>
      </w:r>
      <w:r w:rsidR="00101726" w:rsidRPr="002B1B34">
        <w:t>0</w:t>
      </w:r>
      <w:r w:rsidR="00F80289" w:rsidRPr="002B1B34">
        <w:t xml:space="preserve"> morti per incidente,</w:t>
      </w:r>
      <w:r w:rsidRPr="002B1B34">
        <w:t xml:space="preserve"> rispettivamente</w:t>
      </w:r>
      <w:r w:rsidR="00001998" w:rsidRPr="002B1B34">
        <w:t xml:space="preserve"> 1,</w:t>
      </w:r>
      <w:r w:rsidR="00F80289" w:rsidRPr="002B1B34">
        <w:t>1</w:t>
      </w:r>
      <w:r w:rsidR="00101726" w:rsidRPr="002B1B34">
        <w:t>2</w:t>
      </w:r>
      <w:r w:rsidR="00001998" w:rsidRPr="002B1B34">
        <w:t xml:space="preserve"> sulle autostrade </w:t>
      </w:r>
      <w:r w:rsidR="00101726" w:rsidRPr="002B1B34">
        <w:t xml:space="preserve">(era 1,18 nel 2014) </w:t>
      </w:r>
      <w:r w:rsidR="00F80289" w:rsidRPr="002B1B34">
        <w:t>e 1,09</w:t>
      </w:r>
      <w:r w:rsidRPr="002B1B34">
        <w:t xml:space="preserve"> sulle strade extraurbane</w:t>
      </w:r>
      <w:r w:rsidR="00101726" w:rsidRPr="002B1B34">
        <w:t xml:space="preserve"> (stesso indice del 2014)</w:t>
      </w:r>
      <w:r w:rsidRPr="002B1B34">
        <w:t>.</w:t>
      </w:r>
      <w:r w:rsidR="00001998" w:rsidRPr="002B1B34">
        <w:t xml:space="preserve"> </w:t>
      </w:r>
      <w:r w:rsidR="00101726" w:rsidRPr="002B1B34">
        <w:t>I</w:t>
      </w:r>
      <w:r w:rsidR="00001998" w:rsidRPr="002B1B34">
        <w:t>l numero di</w:t>
      </w:r>
      <w:r w:rsidR="00AE7E79" w:rsidRPr="002B1B34">
        <w:t xml:space="preserve"> morti per km</w:t>
      </w:r>
      <w:r w:rsidR="00101726" w:rsidRPr="002B1B34">
        <w:t>, rapporto che fornisce insieme una misura dell’incidentalità e della pericolosità degli eventi, è rimasto pari al valore rilevato nel 2014</w:t>
      </w:r>
      <w:r w:rsidRPr="002B1B34">
        <w:t>, 0,02</w:t>
      </w:r>
      <w:r w:rsidR="005D66DA" w:rsidRPr="002B1B34">
        <w:t>4 ed</w:t>
      </w:r>
      <w:r w:rsidR="00F80289" w:rsidRPr="002B1B34">
        <w:t xml:space="preserve"> </w:t>
      </w:r>
      <w:r w:rsidR="007F2082" w:rsidRPr="002B1B34">
        <w:t xml:space="preserve">è risultato </w:t>
      </w:r>
      <w:r w:rsidR="00AE7E79" w:rsidRPr="002B1B34">
        <w:t xml:space="preserve">più </w:t>
      </w:r>
      <w:r w:rsidRPr="002B1B34">
        <w:t xml:space="preserve">elevato nelle autostrade </w:t>
      </w:r>
      <w:r w:rsidR="00AE7E79" w:rsidRPr="002B1B34">
        <w:t xml:space="preserve">che nelle strade extraurbane, </w:t>
      </w:r>
      <w:r w:rsidRPr="002B1B34">
        <w:t>rispettivamente 0,0</w:t>
      </w:r>
      <w:r w:rsidR="00B4184C" w:rsidRPr="002B1B34">
        <w:t>41</w:t>
      </w:r>
      <w:r w:rsidRPr="002B1B34">
        <w:t xml:space="preserve"> e </w:t>
      </w:r>
      <w:r w:rsidR="00327D50" w:rsidRPr="002B1B34">
        <w:t>0,02</w:t>
      </w:r>
      <w:r w:rsidR="00B4184C" w:rsidRPr="002B1B34">
        <w:t>1.</w:t>
      </w:r>
      <w:r w:rsidR="00327D50" w:rsidRPr="002B1B34">
        <w:t xml:space="preserve"> </w:t>
      </w:r>
      <w:r w:rsidR="003A4A1D" w:rsidRPr="002B1B34">
        <w:t xml:space="preserve">Per una più concreta valutazione </w:t>
      </w:r>
      <w:r w:rsidR="00742CE2" w:rsidRPr="002B1B34">
        <w:t xml:space="preserve">si può consultare il contributo </w:t>
      </w:r>
      <w:r w:rsidR="006C4F25" w:rsidRPr="002B1B34">
        <w:t xml:space="preserve">“Indicatori di incidentalità per la valutazione della sicurezza delle infrastrutture” </w:t>
      </w:r>
      <w:r w:rsidR="00742CE2" w:rsidRPr="002B1B34">
        <w:t>riguardante</w:t>
      </w:r>
      <w:r w:rsidR="006C4F25" w:rsidRPr="002B1B34">
        <w:t xml:space="preserve"> anche</w:t>
      </w:r>
      <w:r w:rsidR="00742CE2" w:rsidRPr="002B1B34">
        <w:t xml:space="preserve"> i </w:t>
      </w:r>
      <w:r w:rsidR="003A4A1D" w:rsidRPr="002B1B34">
        <w:t>dati relativi ai veicoli/km</w:t>
      </w:r>
      <w:r w:rsidR="006C4F25" w:rsidRPr="002B1B34">
        <w:t xml:space="preserve"> (su una tratta di circa </w:t>
      </w:r>
      <w:r w:rsidR="000E3AD3" w:rsidRPr="002B1B34">
        <w:t>6</w:t>
      </w:r>
      <w:r w:rsidR="006C4F25" w:rsidRPr="002B1B34">
        <w:t>.</w:t>
      </w:r>
      <w:r w:rsidR="000E3AD3" w:rsidRPr="002B1B34">
        <w:t>580</w:t>
      </w:r>
      <w:r w:rsidR="006C4F25" w:rsidRPr="002B1B34">
        <w:t xml:space="preserve"> km </w:t>
      </w:r>
      <w:r w:rsidR="000E3AD3" w:rsidRPr="002B1B34">
        <w:t xml:space="preserve">di sole </w:t>
      </w:r>
      <w:r w:rsidR="006C4F25" w:rsidRPr="002B1B34">
        <w:t>autostrade)</w:t>
      </w:r>
      <w:r w:rsidR="00742CE2" w:rsidRPr="002B1B34">
        <w:t>,</w:t>
      </w:r>
      <w:r w:rsidR="003A4A1D" w:rsidRPr="002B1B34">
        <w:t xml:space="preserve"> che costituiscono la vera misura di esposizione al rischio a cui rapportare il fenomeno degli incidenti.</w:t>
      </w:r>
    </w:p>
    <w:p w:rsidR="00AC6EF7" w:rsidRPr="002B1B34" w:rsidRDefault="00AC6EF7" w:rsidP="00AE7E79">
      <w:pPr>
        <w:spacing w:line="360" w:lineRule="auto"/>
        <w:jc w:val="both"/>
      </w:pPr>
    </w:p>
    <w:p w:rsidR="00AC6EF7" w:rsidRPr="002B1B34" w:rsidRDefault="00AC6EF7" w:rsidP="00AE7E79">
      <w:pPr>
        <w:spacing w:line="360" w:lineRule="auto"/>
        <w:jc w:val="both"/>
      </w:pPr>
      <w:r w:rsidRPr="002B1B34">
        <w:t xml:space="preserve">Il maggior </w:t>
      </w:r>
      <w:r w:rsidR="00822FE3" w:rsidRPr="002B1B34">
        <w:t>apporto</w:t>
      </w:r>
      <w:r w:rsidRPr="002B1B34">
        <w:t xml:space="preserve"> alla riduzione di mortalità sulla rete viaria principale è dovuto al miglioramento della sicurezza a bordo di autovetture e veicoli merci che nel periodo 2001</w:t>
      </w:r>
      <w:r w:rsidR="000A2F9B" w:rsidRPr="002B1B34">
        <w:t>-</w:t>
      </w:r>
      <w:r w:rsidRPr="002B1B34">
        <w:t xml:space="preserve"> 201</w:t>
      </w:r>
      <w:r w:rsidR="005E3C64" w:rsidRPr="002B1B34">
        <w:t>5</w:t>
      </w:r>
      <w:r w:rsidRPr="002B1B34">
        <w:t xml:space="preserve"> hanno registrato riduzioni di mortalità a bordo del veicolo rispettivamente pari a 6</w:t>
      </w:r>
      <w:r w:rsidR="005E3C64" w:rsidRPr="002B1B34">
        <w:t>6</w:t>
      </w:r>
      <w:r w:rsidRPr="002B1B34">
        <w:t>,</w:t>
      </w:r>
      <w:r w:rsidR="005E3C64" w:rsidRPr="002B1B34">
        <w:t>5</w:t>
      </w:r>
      <w:r w:rsidRPr="002B1B34">
        <w:t>% e 5</w:t>
      </w:r>
      <w:r w:rsidR="005E3C64" w:rsidRPr="002B1B34">
        <w:t>4</w:t>
      </w:r>
      <w:r w:rsidRPr="002B1B34">
        <w:t>,</w:t>
      </w:r>
      <w:r w:rsidR="005E3C64" w:rsidRPr="002B1B34">
        <w:t>8</w:t>
      </w:r>
      <w:r w:rsidRPr="002B1B34">
        <w:t xml:space="preserve">%. </w:t>
      </w:r>
      <w:r w:rsidR="00CD05C3" w:rsidRPr="002B1B34">
        <w:t>Ancora più consistente in termini percentuali la</w:t>
      </w:r>
      <w:r w:rsidRPr="002B1B34">
        <w:t xml:space="preserve"> riduzione di mortalità a  </w:t>
      </w:r>
      <w:r w:rsidR="00CD05C3" w:rsidRPr="002B1B34">
        <w:t>bordo di ciclomotor</w:t>
      </w:r>
      <w:r w:rsidR="005E3C64" w:rsidRPr="002B1B34">
        <w:t>i, -78,1</w:t>
      </w:r>
      <w:r w:rsidR="00DC5EA2" w:rsidRPr="002B1B34">
        <w:t>%,</w:t>
      </w:r>
      <w:r w:rsidR="00CD05C3" w:rsidRPr="002B1B34">
        <w:t xml:space="preserve"> ma i numeri in valore assolu</w:t>
      </w:r>
      <w:r w:rsidR="005E3C64" w:rsidRPr="002B1B34">
        <w:t>to sono sensibilmente più bassi; al contrario, dal 2014 al 2015 sono raddoppiati i morti a bordo di ciclomotori.</w:t>
      </w:r>
      <w:r w:rsidR="00C22F5E" w:rsidRPr="002B1B34">
        <w:t xml:space="preserve"> </w:t>
      </w:r>
      <w:r w:rsidR="008520D3" w:rsidRPr="002B1B34">
        <w:t>Dal 2001 al 201</w:t>
      </w:r>
      <w:r w:rsidR="005E3C64" w:rsidRPr="002B1B34">
        <w:t>5</w:t>
      </w:r>
      <w:r w:rsidR="008520D3" w:rsidRPr="002B1B34">
        <w:t xml:space="preserve"> u</w:t>
      </w:r>
      <w:r w:rsidR="007D38D7" w:rsidRPr="002B1B34">
        <w:t>n buon risultato è stato registrato anche relativamente al numero di pedoni morti</w:t>
      </w:r>
      <w:r w:rsidR="00C37A7E" w:rsidRPr="002B1B34">
        <w:t xml:space="preserve"> in incidenti,</w:t>
      </w:r>
      <w:r w:rsidR="007D38D7" w:rsidRPr="002B1B34">
        <w:t xml:space="preserve"> che </w:t>
      </w:r>
      <w:r w:rsidR="005E3C64" w:rsidRPr="002B1B34">
        <w:t xml:space="preserve">sono diminuiti del 42,3% </w:t>
      </w:r>
      <w:r w:rsidR="008520D3" w:rsidRPr="002B1B34">
        <w:t xml:space="preserve">e dalla quantità di morti su biciclette che si sono ridotti del </w:t>
      </w:r>
      <w:r w:rsidR="005E3C64" w:rsidRPr="002B1B34">
        <w:t>35</w:t>
      </w:r>
      <w:r w:rsidR="008520D3" w:rsidRPr="002B1B34">
        <w:t>%</w:t>
      </w:r>
      <w:r w:rsidR="00C37A7E" w:rsidRPr="002B1B34">
        <w:t>.</w:t>
      </w:r>
      <w:r w:rsidR="005E3C64" w:rsidRPr="002B1B34">
        <w:t xml:space="preserve"> Anche in questo caso, tuttavia, è stato rilevato un aumento nel 2015 rispetto all’anno precedente di pedoni morti e di morti su biciclette, rispettivamente il 14,5% e l’8,3% in più.</w:t>
      </w:r>
    </w:p>
    <w:p w:rsidR="007D38D7" w:rsidRDefault="007D38D7" w:rsidP="00AE7E79">
      <w:pPr>
        <w:spacing w:line="360" w:lineRule="auto"/>
        <w:jc w:val="both"/>
      </w:pPr>
      <w:r w:rsidRPr="002B1B34">
        <w:lastRenderedPageBreak/>
        <w:t xml:space="preserve">Rispetto al 2010, </w:t>
      </w:r>
      <w:r w:rsidR="00C37A7E" w:rsidRPr="002B1B34">
        <w:t xml:space="preserve">è rilevante </w:t>
      </w:r>
      <w:r w:rsidR="00360200" w:rsidRPr="002B1B34">
        <w:t xml:space="preserve">(sempre considerando le relative numerosità) </w:t>
      </w:r>
      <w:r w:rsidR="00C37A7E" w:rsidRPr="002B1B34">
        <w:t>la flessione ripo</w:t>
      </w:r>
      <w:r w:rsidR="00875953" w:rsidRPr="002B1B34">
        <w:t xml:space="preserve">rtata dai deceduti su </w:t>
      </w:r>
      <w:r w:rsidR="00360200" w:rsidRPr="002B1B34">
        <w:t>autovetture</w:t>
      </w:r>
      <w:r w:rsidR="00875953" w:rsidRPr="002B1B34">
        <w:t>,</w:t>
      </w:r>
      <w:r w:rsidR="00C22F5E" w:rsidRPr="002B1B34">
        <w:t xml:space="preserve"> -</w:t>
      </w:r>
      <w:r w:rsidR="00EF77A9" w:rsidRPr="002B1B34">
        <w:t>2</w:t>
      </w:r>
      <w:r w:rsidR="00360200" w:rsidRPr="002B1B34">
        <w:t>3,7</w:t>
      </w:r>
      <w:r w:rsidR="00875953" w:rsidRPr="002B1B34">
        <w:t>%</w:t>
      </w:r>
      <w:r w:rsidR="00EF77A9" w:rsidRPr="002B1B34">
        <w:t xml:space="preserve">, </w:t>
      </w:r>
      <w:r w:rsidR="00360200" w:rsidRPr="002B1B34">
        <w:t>su motocicli</w:t>
      </w:r>
      <w:r w:rsidR="00EF77A9" w:rsidRPr="002B1B34">
        <w:t xml:space="preserve"> -24,8% </w:t>
      </w:r>
      <w:r w:rsidR="00E40D20" w:rsidRPr="002B1B34">
        <w:t xml:space="preserve">e </w:t>
      </w:r>
      <w:r w:rsidR="00360200" w:rsidRPr="002B1B34">
        <w:t>deceduti pedoni</w:t>
      </w:r>
      <w:r w:rsidR="00E40D20" w:rsidRPr="002B1B34">
        <w:t xml:space="preserve"> </w:t>
      </w:r>
      <w:r w:rsidR="002B1B34">
        <w:t xml:space="preserve"> </w:t>
      </w:r>
      <w:r w:rsidR="00E40D20" w:rsidRPr="002B1B34">
        <w:t>-</w:t>
      </w:r>
      <w:r w:rsidR="00360200" w:rsidRPr="002B1B34">
        <w:t>1</w:t>
      </w:r>
      <w:r w:rsidR="00E40D20" w:rsidRPr="002B1B34">
        <w:t>3,</w:t>
      </w:r>
      <w:r w:rsidR="00360200" w:rsidRPr="002B1B34">
        <w:t>9</w:t>
      </w:r>
      <w:r w:rsidR="00E40D20" w:rsidRPr="002B1B34">
        <w:t>%.</w:t>
      </w:r>
      <w:r w:rsidR="000D79E8" w:rsidRPr="002B1B34">
        <w:t xml:space="preserve"> </w:t>
      </w:r>
    </w:p>
    <w:p w:rsidR="002B1B34" w:rsidRPr="002B1B34" w:rsidRDefault="002B1B34" w:rsidP="00AE7E79">
      <w:pPr>
        <w:spacing w:line="360" w:lineRule="auto"/>
        <w:jc w:val="both"/>
      </w:pPr>
    </w:p>
    <w:p w:rsidR="00AC6EF7" w:rsidRPr="002B1B34" w:rsidRDefault="00AC6EF7" w:rsidP="00AE7E79">
      <w:pPr>
        <w:spacing w:line="360" w:lineRule="auto"/>
        <w:jc w:val="both"/>
      </w:pPr>
    </w:p>
    <w:p w:rsidR="00CD05C3" w:rsidRPr="002B1B34" w:rsidRDefault="005E3C64" w:rsidP="005E3C64">
      <w:pPr>
        <w:spacing w:line="360" w:lineRule="auto"/>
        <w:jc w:val="center"/>
      </w:pPr>
      <w:r w:rsidRPr="002B1B34">
        <w:rPr>
          <w:noProof/>
        </w:rPr>
        <w:drawing>
          <wp:inline distT="0" distB="0" distL="0" distR="0">
            <wp:extent cx="5814060" cy="2125980"/>
            <wp:effectExtent l="19050" t="0" r="0" b="0"/>
            <wp:docPr id="1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814060" cy="2125980"/>
                    </a:xfrm>
                    <a:prstGeom prst="rect">
                      <a:avLst/>
                    </a:prstGeom>
                    <a:noFill/>
                    <a:ln w="9525">
                      <a:noFill/>
                      <a:miter lim="800000"/>
                      <a:headEnd/>
                      <a:tailEnd/>
                    </a:ln>
                  </pic:spPr>
                </pic:pic>
              </a:graphicData>
            </a:graphic>
          </wp:inline>
        </w:drawing>
      </w:r>
    </w:p>
    <w:tbl>
      <w:tblPr>
        <w:tblW w:w="15116" w:type="dxa"/>
        <w:tblInd w:w="70" w:type="dxa"/>
        <w:tblCellMar>
          <w:left w:w="70" w:type="dxa"/>
          <w:right w:w="70" w:type="dxa"/>
        </w:tblCellMar>
        <w:tblLook w:val="0000" w:firstRow="0" w:lastRow="0" w:firstColumn="0" w:lastColumn="0" w:noHBand="0" w:noVBand="0"/>
      </w:tblPr>
      <w:tblGrid>
        <w:gridCol w:w="15116"/>
      </w:tblGrid>
      <w:tr w:rsidR="001F7DDB" w:rsidRPr="002B1B34" w:rsidTr="001F7DDB">
        <w:trPr>
          <w:trHeight w:val="68"/>
        </w:trPr>
        <w:tc>
          <w:tcPr>
            <w:tcW w:w="15116" w:type="dxa"/>
            <w:shd w:val="clear" w:color="auto" w:fill="auto"/>
            <w:noWrap/>
            <w:vAlign w:val="center"/>
          </w:tcPr>
          <w:p w:rsidR="001F7DDB" w:rsidRPr="002B1B34" w:rsidRDefault="00AC6EF7" w:rsidP="006849FD">
            <w:pPr>
              <w:jc w:val="center"/>
              <w:rPr>
                <w:b/>
                <w:bCs/>
                <w:color w:val="000000"/>
              </w:rPr>
            </w:pPr>
            <w:r w:rsidRPr="002B1B34">
              <w:t xml:space="preserve">           </w:t>
            </w:r>
          </w:p>
        </w:tc>
      </w:tr>
    </w:tbl>
    <w:p w:rsidR="001F7DDB" w:rsidRPr="002B1B34" w:rsidRDefault="001F7DDB" w:rsidP="009549D5">
      <w:pPr>
        <w:pStyle w:val="Corpotesto"/>
        <w:spacing w:line="360" w:lineRule="auto"/>
        <w:jc w:val="both"/>
        <w:rPr>
          <w:szCs w:val="24"/>
          <w:highlight w:val="yellow"/>
        </w:rPr>
      </w:pPr>
    </w:p>
    <w:p w:rsidR="001F7DDB" w:rsidRPr="002B1B34" w:rsidRDefault="001F7DDB" w:rsidP="009549D5">
      <w:pPr>
        <w:pStyle w:val="Corpotesto"/>
        <w:spacing w:line="360" w:lineRule="auto"/>
        <w:jc w:val="both"/>
        <w:rPr>
          <w:szCs w:val="24"/>
          <w:highlight w:val="yellow"/>
        </w:rPr>
      </w:pPr>
    </w:p>
    <w:p w:rsidR="009549D5" w:rsidRPr="002B1B34" w:rsidRDefault="009549D5" w:rsidP="009549D5">
      <w:pPr>
        <w:pStyle w:val="Corpotesto"/>
        <w:spacing w:line="360" w:lineRule="auto"/>
        <w:jc w:val="both"/>
        <w:rPr>
          <w:szCs w:val="24"/>
        </w:rPr>
      </w:pPr>
      <w:r w:rsidRPr="002B1B34">
        <w:rPr>
          <w:szCs w:val="24"/>
        </w:rPr>
        <w:t>I diversi valori in termini di frequenza in incidenti, incidenti mortali e deceduti offr</w:t>
      </w:r>
      <w:r w:rsidR="00A426A4" w:rsidRPr="002B1B34">
        <w:rPr>
          <w:szCs w:val="24"/>
        </w:rPr>
        <w:t>ono</w:t>
      </w:r>
      <w:r w:rsidRPr="002B1B34">
        <w:rPr>
          <w:szCs w:val="24"/>
        </w:rPr>
        <w:t xml:space="preserve"> una misura della pericolosità delle diverse modalità di trasporto, sulla rete viaria principale, sia per chi viaggia a bordo del veicolo che per l’eventuale altro soggetto coinvolto. Si noti, ad esempio, l’andamento dei valori per autovetture, veicoli merci e motocicli. Si noti altresì come il numero di pedone, ciclista</w:t>
      </w:r>
      <w:r w:rsidR="00E840F0" w:rsidRPr="002B1B34">
        <w:rPr>
          <w:szCs w:val="24"/>
        </w:rPr>
        <w:t>,</w:t>
      </w:r>
      <w:r w:rsidRPr="002B1B34">
        <w:rPr>
          <w:szCs w:val="24"/>
        </w:rPr>
        <w:t xml:space="preserve"> utente delle 2 ruote a motore </w:t>
      </w:r>
      <w:r w:rsidR="00E840F0" w:rsidRPr="002B1B34">
        <w:rPr>
          <w:szCs w:val="24"/>
        </w:rPr>
        <w:t xml:space="preserve">e del quadriciclo </w:t>
      </w:r>
      <w:r w:rsidRPr="002B1B34">
        <w:rPr>
          <w:szCs w:val="24"/>
        </w:rPr>
        <w:t>coinvolt</w:t>
      </w:r>
      <w:r w:rsidR="00E840F0" w:rsidRPr="002B1B34">
        <w:rPr>
          <w:szCs w:val="24"/>
        </w:rPr>
        <w:t>i</w:t>
      </w:r>
      <w:r w:rsidRPr="002B1B34">
        <w:rPr>
          <w:szCs w:val="24"/>
        </w:rPr>
        <w:t xml:space="preserve"> in incidente mortale sia </w:t>
      </w:r>
      <w:r w:rsidR="00501EBC" w:rsidRPr="002B1B34">
        <w:rPr>
          <w:szCs w:val="24"/>
        </w:rPr>
        <w:t xml:space="preserve">all’incirca </w:t>
      </w:r>
      <w:r w:rsidRPr="002B1B34">
        <w:rPr>
          <w:szCs w:val="24"/>
        </w:rPr>
        <w:t>uguale a quello dei deceduti</w:t>
      </w:r>
      <w:r w:rsidR="00E840F0" w:rsidRPr="002B1B34">
        <w:rPr>
          <w:szCs w:val="24"/>
        </w:rPr>
        <w:t xml:space="preserve"> corrispondenti</w:t>
      </w:r>
      <w:r w:rsidRPr="002B1B34">
        <w:rPr>
          <w:szCs w:val="24"/>
        </w:rPr>
        <w:t xml:space="preserve"> mentre nel caso di autovetture il rapporto sia di circa 2 ad 1 e per i veicoli merci di circa 4 ad 1.</w:t>
      </w:r>
    </w:p>
    <w:p w:rsidR="003D3A85" w:rsidRPr="002B1B34" w:rsidRDefault="003D3A85" w:rsidP="009549D5">
      <w:pPr>
        <w:pStyle w:val="Corpotesto"/>
        <w:spacing w:line="360" w:lineRule="auto"/>
        <w:jc w:val="both"/>
        <w:rPr>
          <w:szCs w:val="24"/>
        </w:rPr>
      </w:pPr>
    </w:p>
    <w:p w:rsidR="00375828" w:rsidRPr="002B1B34" w:rsidRDefault="009549D5" w:rsidP="00AE7E79">
      <w:pPr>
        <w:spacing w:line="360" w:lineRule="auto"/>
        <w:jc w:val="both"/>
      </w:pPr>
      <w:r w:rsidRPr="002B1B34">
        <w:t xml:space="preserve">   </w:t>
      </w:r>
      <w:r w:rsidR="003D3A85" w:rsidRPr="002B1B34">
        <w:rPr>
          <w:noProof/>
        </w:rPr>
        <w:drawing>
          <wp:inline distT="0" distB="0" distL="0" distR="0">
            <wp:extent cx="5570220" cy="2194560"/>
            <wp:effectExtent l="19050" t="0" r="0" b="0"/>
            <wp:docPr id="1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570220" cy="2194560"/>
                    </a:xfrm>
                    <a:prstGeom prst="rect">
                      <a:avLst/>
                    </a:prstGeom>
                    <a:noFill/>
                    <a:ln w="9525">
                      <a:noFill/>
                      <a:miter lim="800000"/>
                      <a:headEnd/>
                      <a:tailEnd/>
                    </a:ln>
                  </pic:spPr>
                </pic:pic>
              </a:graphicData>
            </a:graphic>
          </wp:inline>
        </w:drawing>
      </w:r>
    </w:p>
    <w:p w:rsidR="009549D5" w:rsidRPr="002B1B34" w:rsidRDefault="009549D5" w:rsidP="0037483D">
      <w:pPr>
        <w:pStyle w:val="Corpotesto"/>
        <w:spacing w:line="276" w:lineRule="auto"/>
        <w:jc w:val="both"/>
        <w:rPr>
          <w:szCs w:val="24"/>
        </w:rPr>
      </w:pPr>
    </w:p>
    <w:p w:rsidR="00B13F9F" w:rsidRPr="002B1B34" w:rsidRDefault="00E840F0" w:rsidP="00B13F9F">
      <w:pPr>
        <w:spacing w:line="360" w:lineRule="auto"/>
        <w:ind w:left="-142"/>
        <w:jc w:val="center"/>
        <w:rPr>
          <w:highlight w:val="yellow"/>
        </w:rPr>
      </w:pPr>
      <w:r w:rsidRPr="002B1B34">
        <w:rPr>
          <w:noProof/>
        </w:rPr>
        <w:lastRenderedPageBreak/>
        <w:drawing>
          <wp:inline distT="0" distB="0" distL="0" distR="0">
            <wp:extent cx="6012180" cy="3017520"/>
            <wp:effectExtent l="19050" t="0" r="7620" b="0"/>
            <wp:docPr id="1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6012180" cy="3017520"/>
                    </a:xfrm>
                    <a:prstGeom prst="rect">
                      <a:avLst/>
                    </a:prstGeom>
                    <a:noFill/>
                    <a:ln w="9525">
                      <a:noFill/>
                      <a:miter lim="800000"/>
                      <a:headEnd/>
                      <a:tailEnd/>
                    </a:ln>
                  </pic:spPr>
                </pic:pic>
              </a:graphicData>
            </a:graphic>
          </wp:inline>
        </w:drawing>
      </w:r>
    </w:p>
    <w:p w:rsidR="00B13F9F" w:rsidRPr="002B1B34" w:rsidRDefault="00B13F9F" w:rsidP="00A426A4">
      <w:pPr>
        <w:spacing w:line="360" w:lineRule="auto"/>
        <w:ind w:left="-142"/>
        <w:jc w:val="both"/>
        <w:rPr>
          <w:highlight w:val="yellow"/>
        </w:rPr>
      </w:pPr>
    </w:p>
    <w:p w:rsidR="003D3A85" w:rsidRPr="002B1B34" w:rsidRDefault="003D3A85" w:rsidP="00A426A4">
      <w:pPr>
        <w:spacing w:line="360" w:lineRule="auto"/>
        <w:ind w:left="-142"/>
        <w:jc w:val="both"/>
        <w:rPr>
          <w:highlight w:val="yellow"/>
        </w:rPr>
      </w:pPr>
    </w:p>
    <w:p w:rsidR="003D3A85" w:rsidRPr="002B1B34" w:rsidRDefault="003D3A85" w:rsidP="00A426A4">
      <w:pPr>
        <w:spacing w:line="360" w:lineRule="auto"/>
        <w:ind w:left="-142"/>
        <w:jc w:val="both"/>
        <w:rPr>
          <w:highlight w:val="yellow"/>
        </w:rPr>
      </w:pPr>
    </w:p>
    <w:p w:rsidR="00A426A4" w:rsidRPr="002B1B34" w:rsidRDefault="00D07A84" w:rsidP="00A426A4">
      <w:pPr>
        <w:spacing w:line="360" w:lineRule="auto"/>
        <w:ind w:left="-142"/>
        <w:jc w:val="both"/>
      </w:pPr>
      <w:r w:rsidRPr="002B1B34">
        <w:t>Le tipologie di incidenti</w:t>
      </w:r>
      <w:r w:rsidR="00A426A4" w:rsidRPr="002B1B34">
        <w:t xml:space="preserve"> più frequenti si confermano il tamponamento e la fuoriuscita in autostrada dove riguardano rispettivamente</w:t>
      </w:r>
      <w:r w:rsidR="00531163" w:rsidRPr="002B1B34">
        <w:t xml:space="preserve"> quasi</w:t>
      </w:r>
      <w:r w:rsidR="00A426A4" w:rsidRPr="002B1B34">
        <w:t xml:space="preserve"> </w:t>
      </w:r>
      <w:r w:rsidR="009D7A32" w:rsidRPr="002B1B34">
        <w:t xml:space="preserve">il </w:t>
      </w:r>
      <w:r w:rsidR="00531163" w:rsidRPr="002B1B34">
        <w:t>50</w:t>
      </w:r>
      <w:r w:rsidR="00A426A4" w:rsidRPr="002B1B34">
        <w:t>% e</w:t>
      </w:r>
      <w:r w:rsidR="00531163" w:rsidRPr="002B1B34">
        <w:t>d il</w:t>
      </w:r>
      <w:r w:rsidR="00A426A4" w:rsidRPr="002B1B34">
        <w:t xml:space="preserve"> 2</w:t>
      </w:r>
      <w:r w:rsidR="00531163" w:rsidRPr="002B1B34">
        <w:t>4</w:t>
      </w:r>
      <w:r w:rsidR="00A426A4" w:rsidRPr="002B1B34">
        <w:t>% degli eventi mentre sulle altre st</w:t>
      </w:r>
      <w:r w:rsidR="009D7A32" w:rsidRPr="002B1B34">
        <w:t>rade extraurbane ricoprono il 2</w:t>
      </w:r>
      <w:r w:rsidR="00531163" w:rsidRPr="002B1B34">
        <w:t>8</w:t>
      </w:r>
      <w:r w:rsidR="00A426A4" w:rsidRPr="002B1B34">
        <w:t>,</w:t>
      </w:r>
      <w:r w:rsidR="00531163" w:rsidRPr="002B1B34">
        <w:t>4</w:t>
      </w:r>
      <w:r w:rsidR="00A426A4" w:rsidRPr="002B1B34">
        <w:t>% ed il 14,</w:t>
      </w:r>
      <w:r w:rsidR="009D7A32" w:rsidRPr="002B1B34">
        <w:t>1% a fronte del 2</w:t>
      </w:r>
      <w:r w:rsidR="00531163" w:rsidRPr="002B1B34">
        <w:t>6</w:t>
      </w:r>
      <w:r w:rsidR="00A426A4" w:rsidRPr="002B1B34">
        <w:t>,</w:t>
      </w:r>
      <w:r w:rsidR="00531163" w:rsidRPr="002B1B34">
        <w:t>2</w:t>
      </w:r>
      <w:r w:rsidR="00A426A4" w:rsidRPr="002B1B34">
        <w:t xml:space="preserve">% di scontri </w:t>
      </w:r>
      <w:proofErr w:type="spellStart"/>
      <w:r w:rsidR="00A426A4" w:rsidRPr="002B1B34">
        <w:t>fronto</w:t>
      </w:r>
      <w:proofErr w:type="spellEnd"/>
      <w:r w:rsidR="00A426A4" w:rsidRPr="002B1B34">
        <w:t>-laterali. L'incidenza percentuale del</w:t>
      </w:r>
      <w:r w:rsidR="00FF41C8" w:rsidRPr="002B1B34">
        <w:t xml:space="preserve"> tamponamento è oltretutto in aumento rispetto al 2014</w:t>
      </w:r>
      <w:r w:rsidR="00A426A4" w:rsidRPr="002B1B34">
        <w:t>.</w:t>
      </w:r>
    </w:p>
    <w:p w:rsidR="00FF41C8" w:rsidRPr="002B1B34" w:rsidRDefault="00FF41C8" w:rsidP="00FF41C8">
      <w:pPr>
        <w:spacing w:line="360" w:lineRule="auto"/>
        <w:ind w:left="-142"/>
        <w:jc w:val="both"/>
      </w:pPr>
      <w:r w:rsidRPr="002B1B34">
        <w:t xml:space="preserve">Il numero più elevato di morti </w:t>
      </w:r>
      <w:r w:rsidR="00BB38F9" w:rsidRPr="002B1B34">
        <w:t xml:space="preserve">nella rete viaria principale </w:t>
      </w:r>
      <w:r w:rsidRPr="002B1B34">
        <w:t xml:space="preserve">si ha per gli scontri </w:t>
      </w:r>
      <w:proofErr w:type="spellStart"/>
      <w:r w:rsidRPr="002B1B34">
        <w:t>fronto</w:t>
      </w:r>
      <w:proofErr w:type="spellEnd"/>
      <w:r w:rsidRPr="002B1B34">
        <w:t xml:space="preserve">-laterali (263), gli scontri frontali (251), le fuoriuscite (226) ed i tamponamenti (213). L'indice di mortalità più elevato si registra per gli scontri frontali e gli investimenti (rispettivamente 11,6 e 10,1 morti per 100 incidenti), </w:t>
      </w:r>
      <w:r w:rsidR="00BB38F9" w:rsidRPr="002B1B34">
        <w:t xml:space="preserve">questi due indici sono più alti sulle autostrade </w:t>
      </w:r>
      <w:r w:rsidRPr="002B1B34">
        <w:t xml:space="preserve">che sulle </w:t>
      </w:r>
      <w:r w:rsidR="00BB38F9" w:rsidRPr="002B1B34">
        <w:t>strade extraurbane.</w:t>
      </w:r>
    </w:p>
    <w:p w:rsidR="00FF41C8" w:rsidRPr="002B1B34" w:rsidRDefault="00FF41C8" w:rsidP="00A426A4">
      <w:pPr>
        <w:spacing w:line="360" w:lineRule="auto"/>
        <w:ind w:left="-142"/>
        <w:jc w:val="both"/>
      </w:pPr>
    </w:p>
    <w:p w:rsidR="00A426A4" w:rsidRPr="002B1B34" w:rsidRDefault="00531163" w:rsidP="00671E5D">
      <w:pPr>
        <w:pStyle w:val="Corpotesto"/>
        <w:spacing w:line="276" w:lineRule="auto"/>
        <w:jc w:val="center"/>
        <w:rPr>
          <w:szCs w:val="24"/>
        </w:rPr>
      </w:pPr>
      <w:r w:rsidRPr="002B1B34">
        <w:rPr>
          <w:noProof/>
          <w:szCs w:val="24"/>
        </w:rPr>
        <w:drawing>
          <wp:inline distT="0" distB="0" distL="0" distR="0">
            <wp:extent cx="6120130" cy="1580437"/>
            <wp:effectExtent l="19050" t="0" r="0" b="0"/>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6120130" cy="1580437"/>
                    </a:xfrm>
                    <a:prstGeom prst="rect">
                      <a:avLst/>
                    </a:prstGeom>
                    <a:noFill/>
                    <a:ln w="9525">
                      <a:noFill/>
                      <a:miter lim="800000"/>
                      <a:headEnd/>
                      <a:tailEnd/>
                    </a:ln>
                  </pic:spPr>
                </pic:pic>
              </a:graphicData>
            </a:graphic>
          </wp:inline>
        </w:drawing>
      </w:r>
    </w:p>
    <w:p w:rsidR="007333DC" w:rsidRPr="002B1B34" w:rsidRDefault="007333DC" w:rsidP="00671E5D">
      <w:pPr>
        <w:pStyle w:val="Corpotesto"/>
        <w:spacing w:line="276" w:lineRule="auto"/>
        <w:jc w:val="center"/>
        <w:rPr>
          <w:szCs w:val="24"/>
        </w:rPr>
      </w:pPr>
    </w:p>
    <w:p w:rsidR="003638F2" w:rsidRDefault="003638F2" w:rsidP="003638F2">
      <w:pPr>
        <w:spacing w:line="360" w:lineRule="auto"/>
        <w:ind w:left="-142"/>
        <w:jc w:val="both"/>
      </w:pPr>
    </w:p>
    <w:p w:rsidR="002B1B34" w:rsidRPr="002B1B34" w:rsidRDefault="002B1B34" w:rsidP="003638F2">
      <w:pPr>
        <w:spacing w:line="360" w:lineRule="auto"/>
        <w:ind w:left="-142"/>
        <w:jc w:val="both"/>
      </w:pPr>
    </w:p>
    <w:p w:rsidR="00D07A84" w:rsidRPr="002B1B34" w:rsidRDefault="00D07A84" w:rsidP="003638F2">
      <w:pPr>
        <w:spacing w:line="360" w:lineRule="auto"/>
        <w:ind w:left="-142"/>
        <w:jc w:val="both"/>
      </w:pPr>
    </w:p>
    <w:p w:rsidR="003638F2" w:rsidRDefault="005C3803" w:rsidP="003638F2">
      <w:pPr>
        <w:spacing w:line="360" w:lineRule="auto"/>
        <w:ind w:left="-142"/>
        <w:jc w:val="both"/>
      </w:pPr>
      <w:r w:rsidRPr="002B1B34">
        <w:lastRenderedPageBreak/>
        <w:t>P</w:t>
      </w:r>
      <w:r w:rsidR="003638F2" w:rsidRPr="002B1B34">
        <w:t xml:space="preserve">er </w:t>
      </w:r>
      <w:r w:rsidRPr="002B1B34">
        <w:t xml:space="preserve">le autovetture, come per i veicoli merci, </w:t>
      </w:r>
      <w:r w:rsidR="003638F2" w:rsidRPr="002B1B34">
        <w:t>il tamponamento è la tipologia di incidente più frequente</w:t>
      </w:r>
      <w:r w:rsidRPr="002B1B34">
        <w:t xml:space="preserve"> sia</w:t>
      </w:r>
      <w:r w:rsidR="003638F2" w:rsidRPr="002B1B34">
        <w:t xml:space="preserve"> in autostr</w:t>
      </w:r>
      <w:r w:rsidRPr="002B1B34">
        <w:t>ada (63,8</w:t>
      </w:r>
      <w:r w:rsidR="003638F2" w:rsidRPr="002B1B34">
        <w:t>%</w:t>
      </w:r>
      <w:r w:rsidRPr="002B1B34">
        <w:t xml:space="preserve"> per le auto e 66,2% per i </w:t>
      </w:r>
      <w:r w:rsidR="00AB306E" w:rsidRPr="002B1B34">
        <w:t xml:space="preserve">veicoli </w:t>
      </w:r>
      <w:r w:rsidRPr="002B1B34">
        <w:t>merci</w:t>
      </w:r>
      <w:r w:rsidR="003638F2" w:rsidRPr="002B1B34">
        <w:t xml:space="preserve">), </w:t>
      </w:r>
      <w:r w:rsidRPr="002B1B34">
        <w:t>sia sulle strade extraurbane (38,7%</w:t>
      </w:r>
      <w:r w:rsidR="00AB306E" w:rsidRPr="002B1B34">
        <w:t xml:space="preserve"> per le prime e 40,9% per i secondi</w:t>
      </w:r>
      <w:r w:rsidRPr="002B1B34">
        <w:t>)</w:t>
      </w:r>
      <w:r w:rsidR="00AB306E" w:rsidRPr="002B1B34">
        <w:t>. Gli incidenti in cui sono coinvolti motocicli sulle autostrade avvengono principalmente per tamponamento (31,4% dei casi) seguiti</w:t>
      </w:r>
      <w:r w:rsidR="003638F2" w:rsidRPr="002B1B34">
        <w:t xml:space="preserve"> subito dopo dalla fuoriuscita (30</w:t>
      </w:r>
      <w:r w:rsidR="00AB306E" w:rsidRPr="002B1B34">
        <w:t>,7</w:t>
      </w:r>
      <w:r w:rsidR="003638F2" w:rsidRPr="002B1B34">
        <w:t>%)</w:t>
      </w:r>
      <w:r w:rsidR="00AB306E" w:rsidRPr="002B1B34">
        <w:t>,</w:t>
      </w:r>
      <w:r w:rsidR="003638F2" w:rsidRPr="002B1B34">
        <w:t xml:space="preserve"> mentre sulle altre strade extraurbane gli scontri </w:t>
      </w:r>
      <w:proofErr w:type="spellStart"/>
      <w:r w:rsidR="003638F2" w:rsidRPr="002B1B34">
        <w:t>fronto</w:t>
      </w:r>
      <w:proofErr w:type="spellEnd"/>
      <w:r w:rsidR="003638F2" w:rsidRPr="002B1B34">
        <w:t>-laterali ricoprono complessivamente il 36</w:t>
      </w:r>
      <w:r w:rsidR="00AB306E" w:rsidRPr="002B1B34">
        <w:t>,9</w:t>
      </w:r>
      <w:r w:rsidR="003638F2" w:rsidRPr="002B1B34">
        <w:t>% dei casi. Relativamente alle biciclette, il 4</w:t>
      </w:r>
      <w:r w:rsidR="00383FFB" w:rsidRPr="002B1B34">
        <w:t>2,1</w:t>
      </w:r>
      <w:r w:rsidR="003638F2" w:rsidRPr="002B1B34">
        <w:t xml:space="preserve">% è implicato in incidenti con scontri </w:t>
      </w:r>
      <w:proofErr w:type="spellStart"/>
      <w:r w:rsidR="003638F2" w:rsidRPr="002B1B34">
        <w:t>fronto</w:t>
      </w:r>
      <w:proofErr w:type="spellEnd"/>
      <w:r w:rsidR="003638F2" w:rsidRPr="002B1B34">
        <w:t>-laterali sulle strade extraurbane.</w:t>
      </w:r>
    </w:p>
    <w:p w:rsidR="002B1B34" w:rsidRPr="002B1B34" w:rsidRDefault="002B1B34" w:rsidP="003638F2">
      <w:pPr>
        <w:spacing w:line="360" w:lineRule="auto"/>
        <w:ind w:left="-142"/>
        <w:jc w:val="both"/>
      </w:pPr>
    </w:p>
    <w:p w:rsidR="005C3803" w:rsidRPr="002B1B34" w:rsidRDefault="005C3803" w:rsidP="003638F2">
      <w:pPr>
        <w:spacing w:line="360" w:lineRule="auto"/>
        <w:ind w:left="-142"/>
        <w:jc w:val="both"/>
      </w:pPr>
    </w:p>
    <w:p w:rsidR="009549D5" w:rsidRPr="002B1B34" w:rsidRDefault="005C3803" w:rsidP="0037483D">
      <w:pPr>
        <w:pStyle w:val="Corpotesto"/>
        <w:spacing w:line="276" w:lineRule="auto"/>
        <w:jc w:val="both"/>
        <w:rPr>
          <w:szCs w:val="24"/>
        </w:rPr>
      </w:pPr>
      <w:r w:rsidRPr="002B1B34">
        <w:rPr>
          <w:noProof/>
          <w:szCs w:val="24"/>
        </w:rPr>
        <w:drawing>
          <wp:inline distT="0" distB="0" distL="0" distR="0">
            <wp:extent cx="6381750" cy="1408672"/>
            <wp:effectExtent l="19050" t="0" r="0" b="0"/>
            <wp:docPr id="20"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6409542" cy="1414807"/>
                    </a:xfrm>
                    <a:prstGeom prst="rect">
                      <a:avLst/>
                    </a:prstGeom>
                    <a:noFill/>
                    <a:ln w="9525">
                      <a:noFill/>
                      <a:miter lim="800000"/>
                      <a:headEnd/>
                      <a:tailEnd/>
                    </a:ln>
                  </pic:spPr>
                </pic:pic>
              </a:graphicData>
            </a:graphic>
          </wp:inline>
        </w:drawing>
      </w:r>
    </w:p>
    <w:p w:rsidR="009549D5" w:rsidRPr="002B1B34" w:rsidRDefault="009549D5" w:rsidP="0037483D">
      <w:pPr>
        <w:pStyle w:val="Corpotesto"/>
        <w:spacing w:line="276" w:lineRule="auto"/>
        <w:jc w:val="both"/>
        <w:rPr>
          <w:szCs w:val="24"/>
        </w:rPr>
      </w:pPr>
    </w:p>
    <w:p w:rsidR="005C3803" w:rsidRPr="002B1B34" w:rsidRDefault="005C3803" w:rsidP="008861C8">
      <w:pPr>
        <w:spacing w:line="360" w:lineRule="auto"/>
        <w:jc w:val="both"/>
      </w:pPr>
    </w:p>
    <w:p w:rsidR="00263D92" w:rsidRPr="002B1B34" w:rsidRDefault="00263D92" w:rsidP="008861C8">
      <w:pPr>
        <w:spacing w:line="360" w:lineRule="auto"/>
        <w:jc w:val="both"/>
      </w:pPr>
    </w:p>
    <w:p w:rsidR="00263D92" w:rsidRPr="002B1B34" w:rsidRDefault="00263D92" w:rsidP="008861C8">
      <w:pPr>
        <w:spacing w:line="360" w:lineRule="auto"/>
        <w:jc w:val="both"/>
      </w:pPr>
    </w:p>
    <w:p w:rsidR="00E27800" w:rsidRPr="002B1B34" w:rsidRDefault="007A58A0" w:rsidP="008861C8">
      <w:pPr>
        <w:spacing w:line="360" w:lineRule="auto"/>
        <w:jc w:val="both"/>
      </w:pPr>
      <w:r w:rsidRPr="002B1B34">
        <w:t xml:space="preserve">La situazione è </w:t>
      </w:r>
      <w:r w:rsidR="0037483D" w:rsidRPr="002B1B34">
        <w:t>molto diversificata nelle Regioni</w:t>
      </w:r>
      <w:r w:rsidR="008861C8" w:rsidRPr="002B1B34">
        <w:t>,</w:t>
      </w:r>
      <w:r w:rsidR="00B80498" w:rsidRPr="002B1B34">
        <w:t xml:space="preserve"> si rileva</w:t>
      </w:r>
      <w:r w:rsidR="008861C8" w:rsidRPr="002B1B34">
        <w:t>,</w:t>
      </w:r>
      <w:r w:rsidR="00B80498" w:rsidRPr="002B1B34">
        <w:t xml:space="preserve"> infatti</w:t>
      </w:r>
      <w:r w:rsidR="008861C8" w:rsidRPr="002B1B34">
        <w:t>,</w:t>
      </w:r>
      <w:r w:rsidR="00B80498" w:rsidRPr="002B1B34">
        <w:t xml:space="preserve"> una maggior concentrazione di incidenti al centro-nord, dove peraltro estensione della rete stradale e c</w:t>
      </w:r>
      <w:r w:rsidR="00E27800" w:rsidRPr="002B1B34">
        <w:t>ircolazione sono più elevate</w:t>
      </w:r>
      <w:r w:rsidR="008861C8" w:rsidRPr="002B1B34">
        <w:t>:</w:t>
      </w:r>
      <w:r w:rsidR="006E5197" w:rsidRPr="002B1B34">
        <w:t xml:space="preserve"> </w:t>
      </w:r>
      <w:r w:rsidR="008861C8" w:rsidRPr="002B1B34">
        <w:t>Lombardia, Lazio e Liguria sono le Regioni con la più alta densità di incidenti (</w:t>
      </w:r>
      <w:r w:rsidR="00E27800" w:rsidRPr="002B1B34">
        <w:t>indice di incidenti per 100 km superiore a 100).</w:t>
      </w:r>
      <w:r w:rsidR="008861C8" w:rsidRPr="002B1B34">
        <w:t xml:space="preserve"> </w:t>
      </w:r>
    </w:p>
    <w:p w:rsidR="008861C8" w:rsidRPr="002B1B34" w:rsidRDefault="00E27800" w:rsidP="00E27800">
      <w:pPr>
        <w:pStyle w:val="Corpotesto"/>
        <w:spacing w:line="360" w:lineRule="auto"/>
        <w:jc w:val="both"/>
        <w:rPr>
          <w:szCs w:val="24"/>
        </w:rPr>
      </w:pPr>
      <w:r w:rsidRPr="002B1B34">
        <w:rPr>
          <w:szCs w:val="24"/>
        </w:rPr>
        <w:t>In termini di mortalità relativa la situazione risulta più grave al Sud, in alcune Regioni del Nord e nelle Isole: Basilicata e Molise</w:t>
      </w:r>
      <w:r w:rsidR="008861C8" w:rsidRPr="002B1B34">
        <w:rPr>
          <w:szCs w:val="24"/>
        </w:rPr>
        <w:t xml:space="preserve"> </w:t>
      </w:r>
      <w:r w:rsidRPr="002B1B34">
        <w:rPr>
          <w:szCs w:val="24"/>
        </w:rPr>
        <w:t xml:space="preserve">sono </w:t>
      </w:r>
      <w:r w:rsidR="008861C8" w:rsidRPr="002B1B34">
        <w:rPr>
          <w:szCs w:val="24"/>
        </w:rPr>
        <w:t>le Regioni in cui l’indice di mortalità risulta particolarmente elevato</w:t>
      </w:r>
      <w:r w:rsidRPr="002B1B34">
        <w:rPr>
          <w:szCs w:val="24"/>
        </w:rPr>
        <w:t>, oltre il doppio rispetto alla media nazionale</w:t>
      </w:r>
      <w:r w:rsidR="008861C8" w:rsidRPr="002B1B34">
        <w:rPr>
          <w:szCs w:val="24"/>
        </w:rPr>
        <w:t xml:space="preserve"> (</w:t>
      </w:r>
      <w:r w:rsidRPr="002B1B34">
        <w:rPr>
          <w:szCs w:val="24"/>
        </w:rPr>
        <w:t>rispettivamente 8</w:t>
      </w:r>
      <w:r w:rsidR="008861C8" w:rsidRPr="002B1B34">
        <w:rPr>
          <w:szCs w:val="24"/>
        </w:rPr>
        <w:t>,</w:t>
      </w:r>
      <w:r w:rsidRPr="002B1B34">
        <w:rPr>
          <w:szCs w:val="24"/>
        </w:rPr>
        <w:t>83 e 7,41</w:t>
      </w:r>
      <w:r w:rsidR="008861C8" w:rsidRPr="002B1B34">
        <w:rPr>
          <w:szCs w:val="24"/>
        </w:rPr>
        <w:t xml:space="preserve"> rispetto alla media di 3,56). </w:t>
      </w:r>
    </w:p>
    <w:p w:rsidR="0037483D" w:rsidRPr="002B1B34" w:rsidRDefault="0037483D" w:rsidP="00B961F6">
      <w:pPr>
        <w:spacing w:line="360" w:lineRule="auto"/>
        <w:jc w:val="both"/>
      </w:pPr>
    </w:p>
    <w:p w:rsidR="00E27800" w:rsidRPr="002B1B34" w:rsidRDefault="00E27800" w:rsidP="008861C8">
      <w:pPr>
        <w:spacing w:line="360" w:lineRule="auto"/>
        <w:jc w:val="center"/>
        <w:rPr>
          <w:b/>
        </w:rPr>
      </w:pPr>
    </w:p>
    <w:p w:rsidR="00ED793C" w:rsidRPr="002B1B34" w:rsidRDefault="00ED793C" w:rsidP="008861C8">
      <w:pPr>
        <w:spacing w:line="360" w:lineRule="auto"/>
        <w:jc w:val="center"/>
        <w:rPr>
          <w:b/>
        </w:rPr>
      </w:pPr>
    </w:p>
    <w:p w:rsidR="00263D92" w:rsidRPr="002B1B34" w:rsidRDefault="00263D92" w:rsidP="008861C8">
      <w:pPr>
        <w:spacing w:line="360" w:lineRule="auto"/>
        <w:jc w:val="center"/>
        <w:rPr>
          <w:b/>
        </w:rPr>
      </w:pPr>
    </w:p>
    <w:p w:rsidR="00263D92" w:rsidRPr="002B1B34" w:rsidRDefault="00263D92" w:rsidP="008861C8">
      <w:pPr>
        <w:spacing w:line="360" w:lineRule="auto"/>
        <w:jc w:val="center"/>
        <w:rPr>
          <w:b/>
        </w:rPr>
      </w:pPr>
    </w:p>
    <w:p w:rsidR="00263D92" w:rsidRPr="002B1B34" w:rsidRDefault="00263D92" w:rsidP="008861C8">
      <w:pPr>
        <w:spacing w:line="360" w:lineRule="auto"/>
        <w:jc w:val="center"/>
        <w:rPr>
          <w:b/>
        </w:rPr>
      </w:pPr>
    </w:p>
    <w:p w:rsidR="00263D92" w:rsidRPr="002B1B34" w:rsidRDefault="00263D92" w:rsidP="008861C8">
      <w:pPr>
        <w:spacing w:line="360" w:lineRule="auto"/>
        <w:jc w:val="center"/>
        <w:rPr>
          <w:b/>
        </w:rPr>
      </w:pPr>
    </w:p>
    <w:p w:rsidR="00263D92" w:rsidRPr="002B1B34" w:rsidRDefault="00263D92" w:rsidP="008861C8">
      <w:pPr>
        <w:spacing w:line="360" w:lineRule="auto"/>
        <w:jc w:val="center"/>
        <w:rPr>
          <w:b/>
        </w:rPr>
      </w:pPr>
    </w:p>
    <w:p w:rsidR="00263D92" w:rsidRDefault="00263D92" w:rsidP="008861C8">
      <w:pPr>
        <w:spacing w:line="360" w:lineRule="auto"/>
        <w:jc w:val="center"/>
        <w:rPr>
          <w:b/>
        </w:rPr>
      </w:pPr>
    </w:p>
    <w:p w:rsidR="002B1B34" w:rsidRDefault="002B1B34" w:rsidP="008861C8">
      <w:pPr>
        <w:spacing w:line="360" w:lineRule="auto"/>
        <w:jc w:val="center"/>
        <w:rPr>
          <w:b/>
        </w:rPr>
      </w:pPr>
    </w:p>
    <w:p w:rsidR="002B1B34" w:rsidRPr="002B1B34" w:rsidRDefault="002B1B34" w:rsidP="008861C8">
      <w:pPr>
        <w:spacing w:line="360" w:lineRule="auto"/>
        <w:jc w:val="center"/>
        <w:rPr>
          <w:b/>
        </w:rPr>
      </w:pPr>
    </w:p>
    <w:p w:rsidR="009B59AB" w:rsidRPr="002B1B34" w:rsidRDefault="008861C8" w:rsidP="008861C8">
      <w:pPr>
        <w:spacing w:line="360" w:lineRule="auto"/>
        <w:jc w:val="center"/>
        <w:rPr>
          <w:b/>
        </w:rPr>
      </w:pPr>
      <w:r w:rsidRPr="002B1B34">
        <w:rPr>
          <w:b/>
        </w:rPr>
        <w:t>Anno 2015</w:t>
      </w:r>
    </w:p>
    <w:p w:rsidR="0037483D" w:rsidRPr="002B1B34" w:rsidRDefault="007333DC" w:rsidP="00B961F6">
      <w:pPr>
        <w:spacing w:line="360" w:lineRule="auto"/>
        <w:jc w:val="both"/>
      </w:pPr>
      <w:r w:rsidRPr="002B1B34">
        <w:rPr>
          <w:noProof/>
        </w:rPr>
        <w:drawing>
          <wp:inline distT="0" distB="0" distL="0" distR="0">
            <wp:extent cx="6120130" cy="3935386"/>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6120130" cy="3935386"/>
                    </a:xfrm>
                    <a:prstGeom prst="rect">
                      <a:avLst/>
                    </a:prstGeom>
                    <a:noFill/>
                    <a:ln w="9525">
                      <a:noFill/>
                      <a:miter lim="800000"/>
                      <a:headEnd/>
                      <a:tailEnd/>
                    </a:ln>
                  </pic:spPr>
                </pic:pic>
              </a:graphicData>
            </a:graphic>
          </wp:inline>
        </w:drawing>
      </w:r>
    </w:p>
    <w:p w:rsidR="00375828" w:rsidRPr="002B1B34" w:rsidRDefault="00B80498" w:rsidP="00AE7E79">
      <w:pPr>
        <w:spacing w:line="360" w:lineRule="auto"/>
        <w:jc w:val="both"/>
      </w:pPr>
      <w:r w:rsidRPr="002B1B34">
        <w:t>Indice di mortalità = morti per 100 incidenti</w:t>
      </w:r>
    </w:p>
    <w:p w:rsidR="00B80498" w:rsidRPr="002B1B34" w:rsidRDefault="00B80498" w:rsidP="00AE7E79">
      <w:pPr>
        <w:spacing w:line="360" w:lineRule="auto"/>
        <w:jc w:val="both"/>
      </w:pPr>
      <w:r w:rsidRPr="002B1B34">
        <w:t xml:space="preserve">Indice di gravità = morti / (morti + feriti) </w:t>
      </w:r>
    </w:p>
    <w:p w:rsidR="0037483D" w:rsidRPr="002B1B34" w:rsidRDefault="0037483D" w:rsidP="00AE7E79">
      <w:pPr>
        <w:spacing w:line="360" w:lineRule="auto"/>
        <w:jc w:val="both"/>
      </w:pPr>
    </w:p>
    <w:p w:rsidR="002B1B34" w:rsidRDefault="002B1B34" w:rsidP="00AE7E79">
      <w:pPr>
        <w:spacing w:line="360" w:lineRule="auto"/>
        <w:jc w:val="both"/>
        <w:rPr>
          <w:b/>
        </w:rPr>
      </w:pPr>
    </w:p>
    <w:p w:rsidR="0037483D" w:rsidRPr="002B1B34" w:rsidRDefault="0037483D" w:rsidP="00AE7E79">
      <w:pPr>
        <w:spacing w:line="360" w:lineRule="auto"/>
        <w:jc w:val="both"/>
      </w:pPr>
      <w:r w:rsidRPr="002B1B34">
        <w:rPr>
          <w:b/>
        </w:rPr>
        <w:t xml:space="preserve">       </w:t>
      </w:r>
    </w:p>
    <w:p w:rsidR="00627E95" w:rsidRPr="002B1B34" w:rsidRDefault="00627E95" w:rsidP="00AE7E79">
      <w:pPr>
        <w:spacing w:line="360" w:lineRule="auto"/>
        <w:jc w:val="both"/>
      </w:pPr>
    </w:p>
    <w:p w:rsidR="004A5327" w:rsidRPr="002B1B34" w:rsidRDefault="00082BD4" w:rsidP="00AE7E79">
      <w:pPr>
        <w:spacing w:line="360" w:lineRule="auto"/>
        <w:jc w:val="both"/>
      </w:pPr>
      <w:r w:rsidRPr="002B1B34">
        <w:t>Nella tabella seguente “Localizzazione degli incidenti stradali Anno 201</w:t>
      </w:r>
      <w:r w:rsidR="004D4B14" w:rsidRPr="002B1B34">
        <w:t>5</w:t>
      </w:r>
      <w:r w:rsidRPr="002B1B34">
        <w:t xml:space="preserve">. Indicatori per Provincia” sono riportati i valori calcolati sul totale degli incidenti avvenuti sulla rete principale relativi a incidenti per km, indice di mortalità, indice di gravità, rischio di </w:t>
      </w:r>
      <w:r w:rsidR="00CF41B7" w:rsidRPr="002B1B34">
        <w:t>incidente</w:t>
      </w:r>
      <w:r w:rsidRPr="002B1B34">
        <w:t xml:space="preserve"> e rischio di </w:t>
      </w:r>
      <w:r w:rsidR="00CF41B7" w:rsidRPr="002B1B34">
        <w:t>mortalità</w:t>
      </w:r>
      <w:r w:rsidRPr="002B1B34">
        <w:t xml:space="preserve">. Il rischio di </w:t>
      </w:r>
      <w:r w:rsidR="00CF41B7" w:rsidRPr="002B1B34">
        <w:t>incidente</w:t>
      </w:r>
      <w:r w:rsidRPr="002B1B34">
        <w:t xml:space="preserve"> e il rischio di </w:t>
      </w:r>
      <w:r w:rsidR="00CF41B7" w:rsidRPr="002B1B34">
        <w:t>mortalità</w:t>
      </w:r>
      <w:r w:rsidRPr="002B1B34">
        <w:t xml:space="preserve"> sono calcolati come rapporto tra il corrispondente indice di ciascuna Provincia e il valore medio nazionale dell’indice stesso.</w:t>
      </w:r>
    </w:p>
    <w:p w:rsidR="00082BD4" w:rsidRPr="002B1B34" w:rsidRDefault="00082BD4" w:rsidP="00AE7E79">
      <w:pPr>
        <w:spacing w:line="360" w:lineRule="auto"/>
        <w:jc w:val="both"/>
      </w:pPr>
    </w:p>
    <w:p w:rsidR="00082BD4" w:rsidRPr="002B1B34" w:rsidRDefault="00082BD4" w:rsidP="00AE7E79">
      <w:pPr>
        <w:spacing w:line="360" w:lineRule="auto"/>
        <w:jc w:val="both"/>
      </w:pPr>
    </w:p>
    <w:p w:rsidR="008C79FC" w:rsidRPr="002B1B34" w:rsidRDefault="00312501" w:rsidP="0017014F">
      <w:pPr>
        <w:spacing w:line="360" w:lineRule="auto"/>
        <w:jc w:val="center"/>
      </w:pPr>
      <w:r w:rsidRPr="002B1B34">
        <w:rPr>
          <w:noProof/>
        </w:rPr>
        <w:lastRenderedPageBreak/>
        <w:drawing>
          <wp:inline distT="0" distB="0" distL="0" distR="0">
            <wp:extent cx="6096000" cy="78105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6096000" cy="7810500"/>
                    </a:xfrm>
                    <a:prstGeom prst="rect">
                      <a:avLst/>
                    </a:prstGeom>
                    <a:noFill/>
                    <a:ln w="9525">
                      <a:noFill/>
                      <a:miter lim="800000"/>
                      <a:headEnd/>
                      <a:tailEnd/>
                    </a:ln>
                  </pic:spPr>
                </pic:pic>
              </a:graphicData>
            </a:graphic>
          </wp:inline>
        </w:drawing>
      </w:r>
      <w:r w:rsidR="003020AD" w:rsidRPr="002B1B34">
        <w:t xml:space="preserve"> </w:t>
      </w:r>
    </w:p>
    <w:p w:rsidR="008C79FC" w:rsidRPr="002B1B34" w:rsidRDefault="008C79FC" w:rsidP="0017014F">
      <w:pPr>
        <w:spacing w:line="360" w:lineRule="auto"/>
        <w:jc w:val="center"/>
      </w:pPr>
    </w:p>
    <w:p w:rsidR="00082BD4" w:rsidRPr="002B1B34" w:rsidRDefault="00627E95" w:rsidP="008C79FC">
      <w:pPr>
        <w:spacing w:line="360" w:lineRule="auto"/>
        <w:ind w:left="8496"/>
        <w:jc w:val="center"/>
      </w:pPr>
      <w:r w:rsidRPr="002B1B34">
        <w:t>Segue</w:t>
      </w:r>
    </w:p>
    <w:p w:rsidR="0017014F" w:rsidRPr="002B1B34" w:rsidRDefault="0017014F" w:rsidP="00AE7E79">
      <w:pPr>
        <w:spacing w:line="360" w:lineRule="auto"/>
        <w:jc w:val="both"/>
      </w:pPr>
    </w:p>
    <w:p w:rsidR="008C79FC" w:rsidRPr="002B1B34" w:rsidRDefault="008C79FC" w:rsidP="0017014F">
      <w:pPr>
        <w:spacing w:line="360" w:lineRule="auto"/>
        <w:jc w:val="center"/>
      </w:pPr>
      <w:r w:rsidRPr="002B1B34">
        <w:rPr>
          <w:noProof/>
        </w:rPr>
        <w:lastRenderedPageBreak/>
        <w:drawing>
          <wp:inline distT="0" distB="0" distL="0" distR="0">
            <wp:extent cx="6096000" cy="835914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6096000" cy="8359140"/>
                    </a:xfrm>
                    <a:prstGeom prst="rect">
                      <a:avLst/>
                    </a:prstGeom>
                    <a:noFill/>
                    <a:ln w="9525">
                      <a:noFill/>
                      <a:miter lim="800000"/>
                      <a:headEnd/>
                      <a:tailEnd/>
                    </a:ln>
                  </pic:spPr>
                </pic:pic>
              </a:graphicData>
            </a:graphic>
          </wp:inline>
        </w:drawing>
      </w:r>
    </w:p>
    <w:p w:rsidR="008C79FC" w:rsidRPr="002B1B34" w:rsidRDefault="008C79FC" w:rsidP="0017014F">
      <w:pPr>
        <w:spacing w:line="360" w:lineRule="auto"/>
        <w:jc w:val="center"/>
      </w:pPr>
    </w:p>
    <w:p w:rsidR="0017014F" w:rsidRPr="002B1B34" w:rsidRDefault="00627E95" w:rsidP="008C79FC">
      <w:pPr>
        <w:spacing w:line="360" w:lineRule="auto"/>
        <w:ind w:left="8496"/>
        <w:jc w:val="center"/>
      </w:pPr>
      <w:r w:rsidRPr="002B1B34">
        <w:t>Segue</w:t>
      </w:r>
    </w:p>
    <w:p w:rsidR="0017014F" w:rsidRPr="002B1B34" w:rsidRDefault="008C79FC" w:rsidP="0017014F">
      <w:pPr>
        <w:spacing w:line="360" w:lineRule="auto"/>
        <w:jc w:val="center"/>
      </w:pPr>
      <w:r w:rsidRPr="002B1B34">
        <w:rPr>
          <w:noProof/>
        </w:rPr>
        <w:lastRenderedPageBreak/>
        <w:drawing>
          <wp:inline distT="0" distB="0" distL="0" distR="0">
            <wp:extent cx="6096000" cy="671322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6096000" cy="6713220"/>
                    </a:xfrm>
                    <a:prstGeom prst="rect">
                      <a:avLst/>
                    </a:prstGeom>
                    <a:noFill/>
                    <a:ln w="9525">
                      <a:noFill/>
                      <a:miter lim="800000"/>
                      <a:headEnd/>
                      <a:tailEnd/>
                    </a:ln>
                  </pic:spPr>
                </pic:pic>
              </a:graphicData>
            </a:graphic>
          </wp:inline>
        </w:drawing>
      </w:r>
    </w:p>
    <w:p w:rsidR="0017014F" w:rsidRPr="002B1B34" w:rsidRDefault="0017014F" w:rsidP="00AE7E79">
      <w:pPr>
        <w:spacing w:line="360" w:lineRule="auto"/>
        <w:jc w:val="both"/>
      </w:pPr>
    </w:p>
    <w:p w:rsidR="0017014F" w:rsidRPr="002B1B34" w:rsidRDefault="0017014F" w:rsidP="00AE7E79">
      <w:pPr>
        <w:spacing w:line="360" w:lineRule="auto"/>
        <w:jc w:val="both"/>
      </w:pPr>
    </w:p>
    <w:p w:rsidR="00CD05C3" w:rsidRPr="002B1B34" w:rsidRDefault="00CD05C3" w:rsidP="00AE7E79">
      <w:pPr>
        <w:spacing w:line="360" w:lineRule="auto"/>
        <w:jc w:val="both"/>
      </w:pPr>
      <w:r w:rsidRPr="002B1B34">
        <w:t>Passando ad una analisi per tratta</w:t>
      </w:r>
      <w:r w:rsidR="00A0548A" w:rsidRPr="002B1B34">
        <w:t xml:space="preserve"> provinciale (i cui dati sono integralmente contenuti nel file allegato “</w:t>
      </w:r>
      <w:r w:rsidR="00464BD6" w:rsidRPr="002B1B34">
        <w:t xml:space="preserve">Localizzazione </w:t>
      </w:r>
      <w:r w:rsidR="00082BD4" w:rsidRPr="002B1B34">
        <w:t>per Provincia e strada 2001-201</w:t>
      </w:r>
      <w:r w:rsidR="00312501" w:rsidRPr="002B1B34">
        <w:t>5</w:t>
      </w:r>
      <w:r w:rsidR="007A78DF" w:rsidRPr="002B1B34">
        <w:t>”),</w:t>
      </w:r>
      <w:r w:rsidR="00082BD4" w:rsidRPr="002B1B34">
        <w:t xml:space="preserve"> </w:t>
      </w:r>
      <w:r w:rsidRPr="002B1B34">
        <w:t>risulta opportuno suddividere le diverse tratte di strade in classi di estesa ed effettuare i confronti all’interno di ciascun gruppo. Si è pertanto deciso di considerare le seguenti classi: 0</w:t>
      </w:r>
      <w:r w:rsidR="009C69CC" w:rsidRPr="002B1B34">
        <w:t xml:space="preserve"> </w:t>
      </w:r>
      <w:r w:rsidRPr="002B1B34">
        <w:t>-</w:t>
      </w:r>
      <w:r w:rsidR="009C69CC" w:rsidRPr="002B1B34">
        <w:t xml:space="preserve"> </w:t>
      </w:r>
      <w:r w:rsidR="00591441" w:rsidRPr="002B1B34">
        <w:t>2</w:t>
      </w:r>
      <w:r w:rsidRPr="002B1B34">
        <w:t>0 km</w:t>
      </w:r>
      <w:r w:rsidR="009C69CC" w:rsidRPr="002B1B34">
        <w:t xml:space="preserve">, </w:t>
      </w:r>
      <w:r w:rsidR="00591441" w:rsidRPr="002B1B34">
        <w:t>2</w:t>
      </w:r>
      <w:r w:rsidR="009C69CC" w:rsidRPr="002B1B34">
        <w:t xml:space="preserve">0 </w:t>
      </w:r>
      <w:r w:rsidR="00591441" w:rsidRPr="002B1B34">
        <w:t>–</w:t>
      </w:r>
      <w:r w:rsidR="009C69CC" w:rsidRPr="002B1B34">
        <w:t xml:space="preserve"> </w:t>
      </w:r>
      <w:r w:rsidR="00591441" w:rsidRPr="002B1B34">
        <w:t>4</w:t>
      </w:r>
      <w:r w:rsidR="009C69CC" w:rsidRPr="002B1B34">
        <w:t>0</w:t>
      </w:r>
      <w:r w:rsidR="00591441" w:rsidRPr="002B1B34">
        <w:t xml:space="preserve"> </w:t>
      </w:r>
      <w:r w:rsidR="009C69CC" w:rsidRPr="002B1B34">
        <w:t xml:space="preserve">km, </w:t>
      </w:r>
      <w:r w:rsidR="00591441" w:rsidRPr="002B1B34">
        <w:t>40 -7</w:t>
      </w:r>
      <w:r w:rsidR="009C69CC" w:rsidRPr="002B1B34">
        <w:t>0 km</w:t>
      </w:r>
      <w:r w:rsidR="00591441" w:rsidRPr="002B1B34">
        <w:t>, 70 – 100 km e oltre 100 km</w:t>
      </w:r>
      <w:r w:rsidR="009C69CC" w:rsidRPr="002B1B34">
        <w:t>.</w:t>
      </w:r>
      <w:r w:rsidRPr="002B1B34">
        <w:t xml:space="preserve">  </w:t>
      </w:r>
    </w:p>
    <w:p w:rsidR="00E979A0" w:rsidRPr="002B1B34" w:rsidRDefault="00AE7E79" w:rsidP="00AE7E79">
      <w:pPr>
        <w:spacing w:line="360" w:lineRule="auto"/>
        <w:jc w:val="both"/>
      </w:pPr>
      <w:r w:rsidRPr="002B1B34">
        <w:lastRenderedPageBreak/>
        <w:t xml:space="preserve">Nel tratto di estesa </w:t>
      </w:r>
      <w:r w:rsidR="00591441" w:rsidRPr="002B1B34">
        <w:t>fino a</w:t>
      </w:r>
      <w:r w:rsidRPr="002B1B34">
        <w:t xml:space="preserve"> 20 km il valore più </w:t>
      </w:r>
      <w:r w:rsidR="00DB5BE2" w:rsidRPr="002B1B34">
        <w:t>significativo</w:t>
      </w:r>
      <w:r w:rsidR="007C48D7" w:rsidRPr="002B1B34">
        <w:t xml:space="preserve"> di morti per km nel 201</w:t>
      </w:r>
      <w:r w:rsidR="00DB5BE2" w:rsidRPr="002B1B34">
        <w:t>5</w:t>
      </w:r>
      <w:r w:rsidRPr="002B1B34">
        <w:t xml:space="preserve"> è stato 0,</w:t>
      </w:r>
      <w:r w:rsidR="00DB5BE2" w:rsidRPr="002B1B34">
        <w:t>3</w:t>
      </w:r>
      <w:r w:rsidR="007C48D7" w:rsidRPr="002B1B34">
        <w:t>4</w:t>
      </w:r>
      <w:r w:rsidRPr="002B1B34">
        <w:t xml:space="preserve"> nella </w:t>
      </w:r>
      <w:r w:rsidR="007C48D7" w:rsidRPr="002B1B34">
        <w:t>A</w:t>
      </w:r>
      <w:r w:rsidR="00DB5BE2" w:rsidRPr="002B1B34">
        <w:t>21 Torino-Piacenza-Brescia</w:t>
      </w:r>
      <w:r w:rsidR="007C48D7" w:rsidRPr="002B1B34">
        <w:t xml:space="preserve"> </w:t>
      </w:r>
      <w:r w:rsidRPr="002B1B34">
        <w:t xml:space="preserve">in Provincia di </w:t>
      </w:r>
      <w:r w:rsidR="00DB5BE2" w:rsidRPr="002B1B34">
        <w:t>Cremona</w:t>
      </w:r>
      <w:r w:rsidRPr="002B1B34">
        <w:t xml:space="preserve"> (</w:t>
      </w:r>
      <w:r w:rsidR="003E7157" w:rsidRPr="002B1B34">
        <w:t xml:space="preserve">lunghezza di </w:t>
      </w:r>
      <w:r w:rsidR="00DB5BE2" w:rsidRPr="002B1B34">
        <w:t>17</w:t>
      </w:r>
      <w:r w:rsidRPr="002B1B34">
        <w:t>,</w:t>
      </w:r>
      <w:r w:rsidR="00DB5BE2" w:rsidRPr="002B1B34">
        <w:t>6</w:t>
      </w:r>
      <w:r w:rsidRPr="002B1B34">
        <w:t xml:space="preserve"> km), </w:t>
      </w:r>
      <w:r w:rsidR="00DB5BE2" w:rsidRPr="002B1B34">
        <w:t xml:space="preserve">in cui si sono verificati 20 incidenti di cui 4 mortali. </w:t>
      </w:r>
      <w:r w:rsidR="004351C5" w:rsidRPr="002B1B34">
        <w:t>T</w:t>
      </w:r>
      <w:r w:rsidRPr="002B1B34">
        <w:t xml:space="preserve">ra </w:t>
      </w:r>
      <w:r w:rsidR="004351C5" w:rsidRPr="002B1B34">
        <w:t>2</w:t>
      </w:r>
      <w:r w:rsidRPr="002B1B34">
        <w:t xml:space="preserve">0 e </w:t>
      </w:r>
      <w:r w:rsidR="004351C5" w:rsidRPr="002B1B34">
        <w:t>4</w:t>
      </w:r>
      <w:r w:rsidRPr="002B1B34">
        <w:t>0 km si è rilevato l’indice più alto pari a 0,</w:t>
      </w:r>
      <w:r w:rsidR="004351C5" w:rsidRPr="002B1B34">
        <w:t>21</w:t>
      </w:r>
      <w:r w:rsidRPr="002B1B34">
        <w:t xml:space="preserve"> sull</w:t>
      </w:r>
      <w:r w:rsidR="007C48D7" w:rsidRPr="002B1B34">
        <w:t xml:space="preserve">a SS </w:t>
      </w:r>
      <w:r w:rsidR="004351C5" w:rsidRPr="002B1B34">
        <w:t>340 dir Regina</w:t>
      </w:r>
      <w:r w:rsidR="007C48D7" w:rsidRPr="002B1B34">
        <w:t xml:space="preserve"> </w:t>
      </w:r>
      <w:r w:rsidRPr="002B1B34">
        <w:t xml:space="preserve">in Provincia di </w:t>
      </w:r>
      <w:r w:rsidR="004351C5" w:rsidRPr="002B1B34">
        <w:t>Como</w:t>
      </w:r>
      <w:r w:rsidRPr="002B1B34">
        <w:t xml:space="preserve"> (tratto lungo </w:t>
      </w:r>
      <w:r w:rsidR="004351C5" w:rsidRPr="002B1B34">
        <w:t>29</w:t>
      </w:r>
      <w:r w:rsidRPr="002B1B34">
        <w:t>,</w:t>
      </w:r>
      <w:r w:rsidR="007C48D7" w:rsidRPr="002B1B34">
        <w:t>3</w:t>
      </w:r>
      <w:r w:rsidRPr="002B1B34">
        <w:t xml:space="preserve"> km)</w:t>
      </w:r>
      <w:r w:rsidR="004351C5" w:rsidRPr="002B1B34">
        <w:t xml:space="preserve">, con 6 morti su 6 incidenti mortali; </w:t>
      </w:r>
      <w:r w:rsidRPr="002B1B34">
        <w:t>da</w:t>
      </w:r>
      <w:r w:rsidR="004351C5" w:rsidRPr="002B1B34">
        <w:t xml:space="preserve"> 40 a 70 km si è arrivati a 0,23</w:t>
      </w:r>
      <w:r w:rsidRPr="002B1B34">
        <w:t xml:space="preserve"> morti per km sulla A</w:t>
      </w:r>
      <w:r w:rsidR="004351C5" w:rsidRPr="002B1B34">
        <w:t>90 Grande Raccordo Anulare di Roma</w:t>
      </w:r>
      <w:r w:rsidR="007C48D7" w:rsidRPr="002B1B34">
        <w:t xml:space="preserve"> </w:t>
      </w:r>
      <w:r w:rsidRPr="002B1B34">
        <w:t xml:space="preserve">lunga </w:t>
      </w:r>
      <w:r w:rsidR="004351C5" w:rsidRPr="002B1B34">
        <w:t>68</w:t>
      </w:r>
      <w:r w:rsidRPr="002B1B34">
        <w:t>,</w:t>
      </w:r>
      <w:r w:rsidR="004351C5" w:rsidRPr="002B1B34">
        <w:t>2 km con ben 733 incidenti totali, di cui 14 mortali</w:t>
      </w:r>
      <w:r w:rsidRPr="002B1B34">
        <w:t>.</w:t>
      </w:r>
      <w:r w:rsidR="003F38FF" w:rsidRPr="002B1B34">
        <w:t xml:space="preserve"> </w:t>
      </w:r>
      <w:r w:rsidR="00E979A0" w:rsidRPr="002B1B34">
        <w:t>Da 70 a 100 km sono stati rilevati 0,14 morti per km sulla SS460 di Ceresole in provincia di Torino (estesa di 70,1 km); infine, relativamente alla tratta di strade superiore a 100 km, l’indice più alto di morti per km, 0,08, è stato registrato sulla SS 007 Via Appia in provincia di Latina (lunghezza di 109 km)</w:t>
      </w:r>
      <w:r w:rsidR="0043325C" w:rsidRPr="002B1B34">
        <w:t>, con 123 incidenti di cui 9 mortali.</w:t>
      </w:r>
    </w:p>
    <w:p w:rsidR="00082BD4" w:rsidRPr="002B1B34" w:rsidRDefault="007C48D7" w:rsidP="00AE7E79">
      <w:pPr>
        <w:spacing w:line="360" w:lineRule="auto"/>
        <w:jc w:val="both"/>
      </w:pPr>
      <w:r w:rsidRPr="002B1B34">
        <w:t xml:space="preserve">Inoltre, considerando il numero di </w:t>
      </w:r>
      <w:r w:rsidR="00BB5D23" w:rsidRPr="002B1B34">
        <w:t>morti per incidente mortale</w:t>
      </w:r>
      <w:r w:rsidR="007A78DF" w:rsidRPr="002B1B34">
        <w:t>,</w:t>
      </w:r>
      <w:r w:rsidRPr="002B1B34">
        <w:t xml:space="preserve"> sulla </w:t>
      </w:r>
      <w:r w:rsidR="0043325C" w:rsidRPr="002B1B34">
        <w:t>SS379 Egnazia e delle Terme di Torre Canne</w:t>
      </w:r>
      <w:r w:rsidRPr="002B1B34">
        <w:t xml:space="preserve"> nella Provincia di </w:t>
      </w:r>
      <w:r w:rsidR="0043325C" w:rsidRPr="002B1B34">
        <w:t>Brindisi</w:t>
      </w:r>
      <w:r w:rsidRPr="002B1B34">
        <w:t xml:space="preserve"> si è reg</w:t>
      </w:r>
      <w:r w:rsidR="0043325C" w:rsidRPr="002B1B34">
        <w:t>istrato il valore più alto con 5</w:t>
      </w:r>
      <w:r w:rsidRPr="002B1B34">
        <w:t xml:space="preserve"> morti in un incidente mortale</w:t>
      </w:r>
      <w:r w:rsidR="0043325C" w:rsidRPr="002B1B34">
        <w:t xml:space="preserve"> (tratta lunga 51</w:t>
      </w:r>
      <w:r w:rsidR="007D40A0" w:rsidRPr="002B1B34">
        <w:t xml:space="preserve"> km)</w:t>
      </w:r>
      <w:r w:rsidR="005A07D2" w:rsidRPr="002B1B34">
        <w:t xml:space="preserve">. </w:t>
      </w:r>
    </w:p>
    <w:p w:rsidR="00082BD4" w:rsidRPr="002B1B34" w:rsidRDefault="00082BD4" w:rsidP="00AE7E79">
      <w:pPr>
        <w:spacing w:line="360" w:lineRule="auto"/>
        <w:jc w:val="both"/>
      </w:pPr>
    </w:p>
    <w:p w:rsidR="0017014F" w:rsidRPr="002B1B34" w:rsidRDefault="0017014F" w:rsidP="00AE7E79">
      <w:pPr>
        <w:spacing w:line="360" w:lineRule="auto"/>
        <w:jc w:val="both"/>
      </w:pPr>
    </w:p>
    <w:p w:rsidR="00DC6982" w:rsidRPr="002B1B34" w:rsidRDefault="0017014F" w:rsidP="0070586C">
      <w:pPr>
        <w:spacing w:line="360" w:lineRule="auto"/>
      </w:pPr>
      <w:r w:rsidRPr="002B1B34">
        <w:t>P</w:t>
      </w:r>
      <w:r w:rsidR="00082BD4" w:rsidRPr="002B1B34">
        <w:t>er una visione completa dell’incidentalità stradale sulla rete principale e al fine di fornire strum</w:t>
      </w:r>
      <w:r w:rsidR="00065638" w:rsidRPr="002B1B34">
        <w:t>en</w:t>
      </w:r>
      <w:r w:rsidR="00082BD4" w:rsidRPr="002B1B34">
        <w:t xml:space="preserve">ti utili per </w:t>
      </w:r>
      <w:r w:rsidR="00065638" w:rsidRPr="002B1B34">
        <w:t xml:space="preserve">ulteriori analisi e approfondimenti, </w:t>
      </w:r>
      <w:r w:rsidR="00082BD4" w:rsidRPr="002B1B34">
        <w:t>s</w:t>
      </w:r>
      <w:r w:rsidR="00EF392F" w:rsidRPr="002B1B34">
        <w:t xml:space="preserve">i </w:t>
      </w:r>
      <w:r w:rsidR="00DC6982" w:rsidRPr="002B1B34">
        <w:t>fa presente</w:t>
      </w:r>
      <w:r w:rsidR="00324971" w:rsidRPr="002B1B34">
        <w:t xml:space="preserve"> che è in linea il portale </w:t>
      </w:r>
      <w:r w:rsidR="0070586C">
        <w:t>“L</w:t>
      </w:r>
      <w:r w:rsidR="00324971" w:rsidRPr="002B1B34">
        <w:t>ocalizz</w:t>
      </w:r>
      <w:r w:rsidR="0070586C">
        <w:t xml:space="preserve">azione degli incidenti stradali” </w:t>
      </w:r>
      <w:r w:rsidR="00324971" w:rsidRPr="002B1B34">
        <w:t xml:space="preserve">di cui si allega il link: </w:t>
      </w:r>
      <w:hyperlink r:id="rId20" w:anchor="/localizzati/2015" w:history="1">
        <w:r w:rsidR="00324971" w:rsidRPr="002B1B34">
          <w:rPr>
            <w:rStyle w:val="Collegamentoipertestuale"/>
          </w:rPr>
          <w:t>http://www.lis.aci.it/it/dati/#/localizzati/2015</w:t>
        </w:r>
      </w:hyperlink>
      <w:r w:rsidR="00DC6982" w:rsidRPr="002B1B34">
        <w:t>.</w:t>
      </w:r>
      <w:r w:rsidR="00324971" w:rsidRPr="002B1B34">
        <w:t xml:space="preserve"> </w:t>
      </w:r>
    </w:p>
    <w:p w:rsidR="00710FAB" w:rsidRPr="002B1B34" w:rsidRDefault="00DC6982" w:rsidP="00517534">
      <w:pPr>
        <w:spacing w:line="360" w:lineRule="auto"/>
        <w:jc w:val="both"/>
      </w:pPr>
      <w:r w:rsidRPr="002B1B34">
        <w:t>S</w:t>
      </w:r>
      <w:r w:rsidR="00324971" w:rsidRPr="002B1B34">
        <w:t>ul</w:t>
      </w:r>
      <w:r w:rsidR="00C1072A" w:rsidRPr="002B1B34">
        <w:t xml:space="preserve"> </w:t>
      </w:r>
      <w:r w:rsidRPr="002B1B34">
        <w:t>portale</w:t>
      </w:r>
      <w:r w:rsidR="00C1072A" w:rsidRPr="002B1B34">
        <w:t xml:space="preserve"> </w:t>
      </w:r>
      <w:r w:rsidR="00324971" w:rsidRPr="002B1B34">
        <w:t>per ciascun chilometro di ciascuna strada, è riportato il numero di incidenti, incidenti mortali, morti e feriti verificatisi nell’anno di riferimento e nei due anni precedenti. La consultazione dei dati può avvenire a livello nazionale, regionale, provinciale e chilometrico per ciascuna strada. E’ prevista altresì la consultazione di tavole di approfondimento</w:t>
      </w:r>
      <w:r w:rsidR="00B568DB" w:rsidRPr="002B1B34">
        <w:t xml:space="preserve"> a livello provinciale</w:t>
      </w:r>
      <w:r w:rsidR="00324971" w:rsidRPr="002B1B34">
        <w:t xml:space="preserve">, in cui vengono riportate sia la tipologia degli incidenti che l’eventuale presenza di veicoli commerciali o industriali - che per le loro caratteristiche spesso aumentano la gravità degli incidenti - e di veicoli a due ruote che spesso subiscono le conseguenze. Inoltre, per ciascuna strada, </w:t>
      </w:r>
      <w:r w:rsidR="00B568DB" w:rsidRPr="002B1B34">
        <w:t>sempre solo</w:t>
      </w:r>
      <w:r w:rsidR="00324971" w:rsidRPr="002B1B34">
        <w:t xml:space="preserve"> a livello provinciale, sono presenti tabelle che riportano le distribuzioni </w:t>
      </w:r>
      <w:proofErr w:type="spellStart"/>
      <w:r w:rsidR="00324971" w:rsidRPr="002B1B34">
        <w:t>univariate</w:t>
      </w:r>
      <w:proofErr w:type="spellEnd"/>
      <w:r w:rsidR="00324971" w:rsidRPr="002B1B34">
        <w:t xml:space="preserve"> degli incidenti secondo le seguenti variabili: Comune, Mese, Giorno della settimana, Ora, Tipologia del luogo di accadimento dell’incidente. Per ciascuna provincia è presente una mappa tematica in cui è rappresentato il numero di incidenti localizzati.</w:t>
      </w:r>
    </w:p>
    <w:p w:rsidR="00710FAB" w:rsidRPr="002B1B34" w:rsidRDefault="00710FAB" w:rsidP="00517534">
      <w:pPr>
        <w:spacing w:line="360" w:lineRule="auto"/>
        <w:jc w:val="both"/>
      </w:pPr>
    </w:p>
    <w:p w:rsidR="00710FAB" w:rsidRPr="002B1B34" w:rsidRDefault="00710FAB" w:rsidP="00710FAB">
      <w:pPr>
        <w:spacing w:line="360" w:lineRule="auto"/>
        <w:jc w:val="center"/>
      </w:pPr>
    </w:p>
    <w:sectPr w:rsidR="00710FAB" w:rsidRPr="002B1B34" w:rsidSect="00D551C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Kunstler Script">
    <w:panose1 w:val="030304020206070D0D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36BA2"/>
    <w:multiLevelType w:val="hybridMultilevel"/>
    <w:tmpl w:val="E8BC14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81"/>
  <w:displayHorizontalDrawingGridEvery w:val="2"/>
  <w:noPunctuationKerning/>
  <w:characterSpacingControl w:val="doNotCompress"/>
  <w:compat>
    <w:compatSetting w:name="compatibilityMode" w:uri="http://schemas.microsoft.com/office/word" w:val="12"/>
  </w:compat>
  <w:rsids>
    <w:rsidRoot w:val="00C5053B"/>
    <w:rsid w:val="00000EC0"/>
    <w:rsid w:val="00001998"/>
    <w:rsid w:val="000031D4"/>
    <w:rsid w:val="00050C38"/>
    <w:rsid w:val="0006551A"/>
    <w:rsid w:val="00065638"/>
    <w:rsid w:val="00082BD4"/>
    <w:rsid w:val="000A1C0C"/>
    <w:rsid w:val="000A2F9B"/>
    <w:rsid w:val="000A3C0B"/>
    <w:rsid w:val="000A596F"/>
    <w:rsid w:val="000D350E"/>
    <w:rsid w:val="000D79E8"/>
    <w:rsid w:val="000E2A25"/>
    <w:rsid w:val="000E3AD3"/>
    <w:rsid w:val="0010013F"/>
    <w:rsid w:val="00101726"/>
    <w:rsid w:val="00105B68"/>
    <w:rsid w:val="00113058"/>
    <w:rsid w:val="001360AC"/>
    <w:rsid w:val="0014436A"/>
    <w:rsid w:val="001551AF"/>
    <w:rsid w:val="001577B0"/>
    <w:rsid w:val="0017014F"/>
    <w:rsid w:val="00180C36"/>
    <w:rsid w:val="001844EE"/>
    <w:rsid w:val="00190F5E"/>
    <w:rsid w:val="001E355B"/>
    <w:rsid w:val="001F6F60"/>
    <w:rsid w:val="001F7DDB"/>
    <w:rsid w:val="00213CA7"/>
    <w:rsid w:val="002316A6"/>
    <w:rsid w:val="00241968"/>
    <w:rsid w:val="00244FA5"/>
    <w:rsid w:val="002565DC"/>
    <w:rsid w:val="00263D92"/>
    <w:rsid w:val="00276486"/>
    <w:rsid w:val="00283E4C"/>
    <w:rsid w:val="002850FE"/>
    <w:rsid w:val="00297B84"/>
    <w:rsid w:val="002B1B34"/>
    <w:rsid w:val="002B73C3"/>
    <w:rsid w:val="002E764A"/>
    <w:rsid w:val="002F05B8"/>
    <w:rsid w:val="002F16E2"/>
    <w:rsid w:val="003020AD"/>
    <w:rsid w:val="00312501"/>
    <w:rsid w:val="00324971"/>
    <w:rsid w:val="00325377"/>
    <w:rsid w:val="00327D50"/>
    <w:rsid w:val="00337655"/>
    <w:rsid w:val="00343AEF"/>
    <w:rsid w:val="00350D77"/>
    <w:rsid w:val="00360200"/>
    <w:rsid w:val="003638F2"/>
    <w:rsid w:val="00364A67"/>
    <w:rsid w:val="00372561"/>
    <w:rsid w:val="0037483D"/>
    <w:rsid w:val="00375828"/>
    <w:rsid w:val="00377C44"/>
    <w:rsid w:val="00383FFB"/>
    <w:rsid w:val="003851B6"/>
    <w:rsid w:val="003A247B"/>
    <w:rsid w:val="003A4077"/>
    <w:rsid w:val="003A4A1D"/>
    <w:rsid w:val="003A794F"/>
    <w:rsid w:val="003C2F72"/>
    <w:rsid w:val="003C61EF"/>
    <w:rsid w:val="003D3A85"/>
    <w:rsid w:val="003D4A28"/>
    <w:rsid w:val="003E7157"/>
    <w:rsid w:val="003F37FA"/>
    <w:rsid w:val="003F38FF"/>
    <w:rsid w:val="00413408"/>
    <w:rsid w:val="00417126"/>
    <w:rsid w:val="0043325C"/>
    <w:rsid w:val="004351C5"/>
    <w:rsid w:val="00460799"/>
    <w:rsid w:val="00460E79"/>
    <w:rsid w:val="00464BD6"/>
    <w:rsid w:val="00472466"/>
    <w:rsid w:val="004A16EE"/>
    <w:rsid w:val="004A2E98"/>
    <w:rsid w:val="004A34A0"/>
    <w:rsid w:val="004A5327"/>
    <w:rsid w:val="004A7B63"/>
    <w:rsid w:val="004B29D1"/>
    <w:rsid w:val="004C308A"/>
    <w:rsid w:val="004D4B14"/>
    <w:rsid w:val="004F2101"/>
    <w:rsid w:val="00501EBC"/>
    <w:rsid w:val="005100F6"/>
    <w:rsid w:val="00513390"/>
    <w:rsid w:val="00517534"/>
    <w:rsid w:val="00521D34"/>
    <w:rsid w:val="005272AE"/>
    <w:rsid w:val="00531163"/>
    <w:rsid w:val="005331F0"/>
    <w:rsid w:val="0053663B"/>
    <w:rsid w:val="0054760F"/>
    <w:rsid w:val="00554484"/>
    <w:rsid w:val="00555AD6"/>
    <w:rsid w:val="00560739"/>
    <w:rsid w:val="00591441"/>
    <w:rsid w:val="005A07D2"/>
    <w:rsid w:val="005A2F0F"/>
    <w:rsid w:val="005B1D68"/>
    <w:rsid w:val="005B3101"/>
    <w:rsid w:val="005B540F"/>
    <w:rsid w:val="005C0921"/>
    <w:rsid w:val="005C3803"/>
    <w:rsid w:val="005C62A3"/>
    <w:rsid w:val="005C710F"/>
    <w:rsid w:val="005D66DA"/>
    <w:rsid w:val="005D7C07"/>
    <w:rsid w:val="005E3C64"/>
    <w:rsid w:val="005F0991"/>
    <w:rsid w:val="00601695"/>
    <w:rsid w:val="00612005"/>
    <w:rsid w:val="00627E95"/>
    <w:rsid w:val="00643C6F"/>
    <w:rsid w:val="00671E5D"/>
    <w:rsid w:val="00684FAB"/>
    <w:rsid w:val="006914F0"/>
    <w:rsid w:val="00691BD8"/>
    <w:rsid w:val="00695937"/>
    <w:rsid w:val="006A39A8"/>
    <w:rsid w:val="006A7F3E"/>
    <w:rsid w:val="006C0557"/>
    <w:rsid w:val="006C32A5"/>
    <w:rsid w:val="006C4F25"/>
    <w:rsid w:val="006C7F60"/>
    <w:rsid w:val="006E5197"/>
    <w:rsid w:val="007017FE"/>
    <w:rsid w:val="00701AAD"/>
    <w:rsid w:val="0070586C"/>
    <w:rsid w:val="00705B70"/>
    <w:rsid w:val="00710953"/>
    <w:rsid w:val="00710FAB"/>
    <w:rsid w:val="007133F3"/>
    <w:rsid w:val="00730151"/>
    <w:rsid w:val="00732747"/>
    <w:rsid w:val="007333DC"/>
    <w:rsid w:val="00742CE2"/>
    <w:rsid w:val="00750F7F"/>
    <w:rsid w:val="00751794"/>
    <w:rsid w:val="00770E35"/>
    <w:rsid w:val="00772581"/>
    <w:rsid w:val="00781569"/>
    <w:rsid w:val="007A58A0"/>
    <w:rsid w:val="007A78DF"/>
    <w:rsid w:val="007B3686"/>
    <w:rsid w:val="007B7F41"/>
    <w:rsid w:val="007C48D7"/>
    <w:rsid w:val="007D38D7"/>
    <w:rsid w:val="007D40A0"/>
    <w:rsid w:val="007E47A7"/>
    <w:rsid w:val="007F2082"/>
    <w:rsid w:val="007F3EC0"/>
    <w:rsid w:val="007F4AEF"/>
    <w:rsid w:val="00803B90"/>
    <w:rsid w:val="008131A8"/>
    <w:rsid w:val="00822FE3"/>
    <w:rsid w:val="00842D96"/>
    <w:rsid w:val="00851A08"/>
    <w:rsid w:val="008520D3"/>
    <w:rsid w:val="00853AE8"/>
    <w:rsid w:val="0085641C"/>
    <w:rsid w:val="00875953"/>
    <w:rsid w:val="00877315"/>
    <w:rsid w:val="008861C8"/>
    <w:rsid w:val="00894250"/>
    <w:rsid w:val="00895E4F"/>
    <w:rsid w:val="008B6CB0"/>
    <w:rsid w:val="008C1D02"/>
    <w:rsid w:val="008C79FC"/>
    <w:rsid w:val="008D4415"/>
    <w:rsid w:val="008D6B2A"/>
    <w:rsid w:val="008F24E2"/>
    <w:rsid w:val="008F3F18"/>
    <w:rsid w:val="00910052"/>
    <w:rsid w:val="00910D37"/>
    <w:rsid w:val="00920372"/>
    <w:rsid w:val="00942511"/>
    <w:rsid w:val="009549D5"/>
    <w:rsid w:val="009619DF"/>
    <w:rsid w:val="009677CD"/>
    <w:rsid w:val="0099188B"/>
    <w:rsid w:val="009B59AB"/>
    <w:rsid w:val="009C69CC"/>
    <w:rsid w:val="009D7A32"/>
    <w:rsid w:val="009F0CD5"/>
    <w:rsid w:val="00A0548A"/>
    <w:rsid w:val="00A06B46"/>
    <w:rsid w:val="00A24A5C"/>
    <w:rsid w:val="00A24D49"/>
    <w:rsid w:val="00A25748"/>
    <w:rsid w:val="00A26B90"/>
    <w:rsid w:val="00A35D77"/>
    <w:rsid w:val="00A36939"/>
    <w:rsid w:val="00A426A4"/>
    <w:rsid w:val="00A4620A"/>
    <w:rsid w:val="00A504D6"/>
    <w:rsid w:val="00A55C61"/>
    <w:rsid w:val="00A57E47"/>
    <w:rsid w:val="00AB2E85"/>
    <w:rsid w:val="00AB306E"/>
    <w:rsid w:val="00AC3EDA"/>
    <w:rsid w:val="00AC6EF7"/>
    <w:rsid w:val="00AD5A6A"/>
    <w:rsid w:val="00AD77B6"/>
    <w:rsid w:val="00AE3A38"/>
    <w:rsid w:val="00AE42C7"/>
    <w:rsid w:val="00AE49FA"/>
    <w:rsid w:val="00AE7E79"/>
    <w:rsid w:val="00B06FBA"/>
    <w:rsid w:val="00B1315F"/>
    <w:rsid w:val="00B13F9F"/>
    <w:rsid w:val="00B141DF"/>
    <w:rsid w:val="00B17AA2"/>
    <w:rsid w:val="00B343E0"/>
    <w:rsid w:val="00B4184C"/>
    <w:rsid w:val="00B53848"/>
    <w:rsid w:val="00B568DB"/>
    <w:rsid w:val="00B6769D"/>
    <w:rsid w:val="00B7537A"/>
    <w:rsid w:val="00B80498"/>
    <w:rsid w:val="00B84246"/>
    <w:rsid w:val="00B844B3"/>
    <w:rsid w:val="00B86D9A"/>
    <w:rsid w:val="00B93EA5"/>
    <w:rsid w:val="00B961F6"/>
    <w:rsid w:val="00BA2D55"/>
    <w:rsid w:val="00BB2510"/>
    <w:rsid w:val="00BB38F9"/>
    <w:rsid w:val="00BB5D23"/>
    <w:rsid w:val="00BC01D0"/>
    <w:rsid w:val="00BC1029"/>
    <w:rsid w:val="00BC374F"/>
    <w:rsid w:val="00BD01AC"/>
    <w:rsid w:val="00BD3141"/>
    <w:rsid w:val="00BF1DC6"/>
    <w:rsid w:val="00BF1F9D"/>
    <w:rsid w:val="00BF2230"/>
    <w:rsid w:val="00BF6887"/>
    <w:rsid w:val="00C1072A"/>
    <w:rsid w:val="00C16F5E"/>
    <w:rsid w:val="00C224E8"/>
    <w:rsid w:val="00C22F5E"/>
    <w:rsid w:val="00C276FB"/>
    <w:rsid w:val="00C34B3A"/>
    <w:rsid w:val="00C37299"/>
    <w:rsid w:val="00C37A7E"/>
    <w:rsid w:val="00C5053B"/>
    <w:rsid w:val="00C61F0F"/>
    <w:rsid w:val="00C638E0"/>
    <w:rsid w:val="00C754E2"/>
    <w:rsid w:val="00C9378B"/>
    <w:rsid w:val="00C93BFD"/>
    <w:rsid w:val="00CA02CA"/>
    <w:rsid w:val="00CA08EA"/>
    <w:rsid w:val="00CB0540"/>
    <w:rsid w:val="00CD05C3"/>
    <w:rsid w:val="00CD271E"/>
    <w:rsid w:val="00CF41B7"/>
    <w:rsid w:val="00D074AB"/>
    <w:rsid w:val="00D07A84"/>
    <w:rsid w:val="00D24CDC"/>
    <w:rsid w:val="00D31331"/>
    <w:rsid w:val="00D41DED"/>
    <w:rsid w:val="00D43DC1"/>
    <w:rsid w:val="00D474F0"/>
    <w:rsid w:val="00D5014E"/>
    <w:rsid w:val="00D551CB"/>
    <w:rsid w:val="00D5608F"/>
    <w:rsid w:val="00D70686"/>
    <w:rsid w:val="00D72C7B"/>
    <w:rsid w:val="00D768B5"/>
    <w:rsid w:val="00D83544"/>
    <w:rsid w:val="00D878FB"/>
    <w:rsid w:val="00DA51F9"/>
    <w:rsid w:val="00DB5BE2"/>
    <w:rsid w:val="00DB78F3"/>
    <w:rsid w:val="00DC5EA2"/>
    <w:rsid w:val="00DC6982"/>
    <w:rsid w:val="00DC7366"/>
    <w:rsid w:val="00DD3467"/>
    <w:rsid w:val="00DE477F"/>
    <w:rsid w:val="00E04545"/>
    <w:rsid w:val="00E12068"/>
    <w:rsid w:val="00E27800"/>
    <w:rsid w:val="00E37ECC"/>
    <w:rsid w:val="00E40D20"/>
    <w:rsid w:val="00E44AB6"/>
    <w:rsid w:val="00E47581"/>
    <w:rsid w:val="00E7057F"/>
    <w:rsid w:val="00E731DD"/>
    <w:rsid w:val="00E83F4A"/>
    <w:rsid w:val="00E840F0"/>
    <w:rsid w:val="00E979A0"/>
    <w:rsid w:val="00EB278A"/>
    <w:rsid w:val="00EC7588"/>
    <w:rsid w:val="00ED793C"/>
    <w:rsid w:val="00EF28BB"/>
    <w:rsid w:val="00EF392F"/>
    <w:rsid w:val="00EF77A9"/>
    <w:rsid w:val="00F07FDE"/>
    <w:rsid w:val="00F13E9C"/>
    <w:rsid w:val="00F20826"/>
    <w:rsid w:val="00F21B43"/>
    <w:rsid w:val="00F43F25"/>
    <w:rsid w:val="00F60CD5"/>
    <w:rsid w:val="00F618FB"/>
    <w:rsid w:val="00F67312"/>
    <w:rsid w:val="00F72F44"/>
    <w:rsid w:val="00F80289"/>
    <w:rsid w:val="00F91E19"/>
    <w:rsid w:val="00F91F0A"/>
    <w:rsid w:val="00F9552C"/>
    <w:rsid w:val="00FE0F6D"/>
    <w:rsid w:val="00FF3811"/>
    <w:rsid w:val="00FF3973"/>
    <w:rsid w:val="00FF41C8"/>
    <w:rsid w:val="00FF43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551CB"/>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rsid w:val="001577B0"/>
    <w:rPr>
      <w:sz w:val="16"/>
      <w:szCs w:val="16"/>
    </w:rPr>
  </w:style>
  <w:style w:type="paragraph" w:styleId="Testocommento">
    <w:name w:val="annotation text"/>
    <w:basedOn w:val="Normale"/>
    <w:semiHidden/>
    <w:rsid w:val="001577B0"/>
    <w:rPr>
      <w:sz w:val="20"/>
      <w:szCs w:val="20"/>
    </w:rPr>
  </w:style>
  <w:style w:type="paragraph" w:styleId="Soggettocommento">
    <w:name w:val="annotation subject"/>
    <w:basedOn w:val="Testocommento"/>
    <w:next w:val="Testocommento"/>
    <w:semiHidden/>
    <w:rsid w:val="001577B0"/>
    <w:rPr>
      <w:b/>
      <w:bCs/>
    </w:rPr>
  </w:style>
  <w:style w:type="paragraph" w:styleId="Testofumetto">
    <w:name w:val="Balloon Text"/>
    <w:basedOn w:val="Normale"/>
    <w:semiHidden/>
    <w:rsid w:val="001577B0"/>
    <w:rPr>
      <w:rFonts w:ascii="Tahoma" w:hAnsi="Tahoma" w:cs="Tahoma"/>
      <w:sz w:val="16"/>
      <w:szCs w:val="16"/>
    </w:rPr>
  </w:style>
  <w:style w:type="paragraph" w:styleId="Corpotesto">
    <w:name w:val="Body Text"/>
    <w:basedOn w:val="Normale"/>
    <w:rsid w:val="005A2F0F"/>
    <w:rPr>
      <w:szCs w:val="20"/>
    </w:rPr>
  </w:style>
  <w:style w:type="character" w:styleId="Collegamentoipertestuale">
    <w:name w:val="Hyperlink"/>
    <w:basedOn w:val="Carpredefinitoparagrafo"/>
    <w:rsid w:val="003249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229">
      <w:bodyDiv w:val="1"/>
      <w:marLeft w:val="0"/>
      <w:marRight w:val="0"/>
      <w:marTop w:val="0"/>
      <w:marBottom w:val="0"/>
      <w:divBdr>
        <w:top w:val="none" w:sz="0" w:space="0" w:color="auto"/>
        <w:left w:val="none" w:sz="0" w:space="0" w:color="auto"/>
        <w:bottom w:val="none" w:sz="0" w:space="0" w:color="auto"/>
        <w:right w:val="none" w:sz="0" w:space="0" w:color="auto"/>
      </w:divBdr>
      <w:divsChild>
        <w:div w:id="661391910">
          <w:marLeft w:val="0"/>
          <w:marRight w:val="0"/>
          <w:marTop w:val="0"/>
          <w:marBottom w:val="0"/>
          <w:divBdr>
            <w:top w:val="none" w:sz="0" w:space="0" w:color="auto"/>
            <w:left w:val="none" w:sz="0" w:space="0" w:color="auto"/>
            <w:bottom w:val="none" w:sz="0" w:space="0" w:color="auto"/>
            <w:right w:val="none" w:sz="0" w:space="0" w:color="auto"/>
          </w:divBdr>
        </w:div>
        <w:div w:id="1815175515">
          <w:marLeft w:val="0"/>
          <w:marRight w:val="0"/>
          <w:marTop w:val="0"/>
          <w:marBottom w:val="0"/>
          <w:divBdr>
            <w:top w:val="none" w:sz="0" w:space="0" w:color="auto"/>
            <w:left w:val="none" w:sz="0" w:space="0" w:color="auto"/>
            <w:bottom w:val="none" w:sz="0" w:space="0" w:color="auto"/>
            <w:right w:val="none" w:sz="0" w:space="0" w:color="auto"/>
          </w:divBdr>
        </w:div>
        <w:div w:id="380908329">
          <w:marLeft w:val="0"/>
          <w:marRight w:val="0"/>
          <w:marTop w:val="0"/>
          <w:marBottom w:val="0"/>
          <w:divBdr>
            <w:top w:val="none" w:sz="0" w:space="0" w:color="auto"/>
            <w:left w:val="none" w:sz="0" w:space="0" w:color="auto"/>
            <w:bottom w:val="none" w:sz="0" w:space="0" w:color="auto"/>
            <w:right w:val="none" w:sz="0" w:space="0" w:color="auto"/>
          </w:divBdr>
        </w:div>
        <w:div w:id="1003584187">
          <w:marLeft w:val="0"/>
          <w:marRight w:val="0"/>
          <w:marTop w:val="0"/>
          <w:marBottom w:val="0"/>
          <w:divBdr>
            <w:top w:val="none" w:sz="0" w:space="0" w:color="auto"/>
            <w:left w:val="none" w:sz="0" w:space="0" w:color="auto"/>
            <w:bottom w:val="none" w:sz="0" w:space="0" w:color="auto"/>
            <w:right w:val="none" w:sz="0" w:space="0" w:color="auto"/>
          </w:divBdr>
        </w:div>
      </w:divsChild>
    </w:div>
    <w:div w:id="13922499">
      <w:bodyDiv w:val="1"/>
      <w:marLeft w:val="0"/>
      <w:marRight w:val="0"/>
      <w:marTop w:val="0"/>
      <w:marBottom w:val="0"/>
      <w:divBdr>
        <w:top w:val="none" w:sz="0" w:space="0" w:color="auto"/>
        <w:left w:val="none" w:sz="0" w:space="0" w:color="auto"/>
        <w:bottom w:val="none" w:sz="0" w:space="0" w:color="auto"/>
        <w:right w:val="none" w:sz="0" w:space="0" w:color="auto"/>
      </w:divBdr>
    </w:div>
    <w:div w:id="70203547">
      <w:bodyDiv w:val="1"/>
      <w:marLeft w:val="0"/>
      <w:marRight w:val="0"/>
      <w:marTop w:val="0"/>
      <w:marBottom w:val="0"/>
      <w:divBdr>
        <w:top w:val="none" w:sz="0" w:space="0" w:color="auto"/>
        <w:left w:val="none" w:sz="0" w:space="0" w:color="auto"/>
        <w:bottom w:val="none" w:sz="0" w:space="0" w:color="auto"/>
        <w:right w:val="none" w:sz="0" w:space="0" w:color="auto"/>
      </w:divBdr>
    </w:div>
    <w:div w:id="545027010">
      <w:bodyDiv w:val="1"/>
      <w:marLeft w:val="0"/>
      <w:marRight w:val="0"/>
      <w:marTop w:val="0"/>
      <w:marBottom w:val="0"/>
      <w:divBdr>
        <w:top w:val="none" w:sz="0" w:space="0" w:color="auto"/>
        <w:left w:val="none" w:sz="0" w:space="0" w:color="auto"/>
        <w:bottom w:val="none" w:sz="0" w:space="0" w:color="auto"/>
        <w:right w:val="none" w:sz="0" w:space="0" w:color="auto"/>
      </w:divBdr>
    </w:div>
    <w:div w:id="1739551420">
      <w:bodyDiv w:val="1"/>
      <w:marLeft w:val="0"/>
      <w:marRight w:val="0"/>
      <w:marTop w:val="0"/>
      <w:marBottom w:val="0"/>
      <w:divBdr>
        <w:top w:val="none" w:sz="0" w:space="0" w:color="auto"/>
        <w:left w:val="none" w:sz="0" w:space="0" w:color="auto"/>
        <w:bottom w:val="none" w:sz="0" w:space="0" w:color="auto"/>
        <w:right w:val="none" w:sz="0" w:space="0" w:color="auto"/>
      </w:divBdr>
    </w:div>
    <w:div w:id="210957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image" Target="media/image10.wmf"/><Relationship Id="rId20" Type="http://schemas.openxmlformats.org/officeDocument/2006/relationships/hyperlink" Target="http://www.lis.aci.it/it/dat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image" Target="media/image9.wmf"/><Relationship Id="rId10" Type="http://schemas.openxmlformats.org/officeDocument/2006/relationships/image" Target="media/image4.jpeg"/><Relationship Id="rId19" Type="http://schemas.openxmlformats.org/officeDocument/2006/relationships/image" Target="media/image13.emf"/><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274696-A190-452D-8CF5-0DC93516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2399</Words>
  <Characters>13678</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ANALISI INCIDENTI – MORTI – FERITI PER TIPO DI STRADA</vt:lpstr>
    </vt:vector>
  </TitlesOfParts>
  <Company>ACI informatica spa</Company>
  <LinksUpToDate>false</LinksUpToDate>
  <CharactersWithSpaces>16045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ANALISI INCIDENTI – MORTI – FERITI PER TIPO DI STRADA</dc:title>
  <dc:creator>ACI Informatica spa</dc:creator>
  <cp:lastModifiedBy>Zacchi Giovanni</cp:lastModifiedBy>
  <cp:revision>6</cp:revision>
  <cp:lastPrinted>2015-11-20T08:56:00Z</cp:lastPrinted>
  <dcterms:created xsi:type="dcterms:W3CDTF">2016-11-30T12:01:00Z</dcterms:created>
  <dcterms:modified xsi:type="dcterms:W3CDTF">2016-12-01T09:38:00Z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299744110</vt:i4>
  </property>
  <property fmtid="{D5CDD505-2E9C-101B-9397-08002B2CF9AE}" pid="3" name="_EmailSubject">
    <vt:lpwstr/>
  </property>
  <property fmtid="{D5CDD505-2E9C-101B-9397-08002B2CF9AE}" pid="4" name="_AuthorEmail">
    <vt:lpwstr>l.pennisi@aci.it</vt:lpwstr>
  </property>
  <property fmtid="{D5CDD505-2E9C-101B-9397-08002B2CF9AE}" pid="5" name="_AuthorEmailDisplayName">
    <vt:lpwstr>Pennisi Lucia</vt:lpwstr>
  </property>
  <property fmtid="{D5CDD505-2E9C-101B-9397-08002B2CF9AE}" pid="6" name="_ReviewingToolsShownOnce">
    <vt:lpwstr/>
  </property>
</Properties>
</file>